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6CA8"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CA2B1C6" wp14:editId="188AC835">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953B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F2F537A" wp14:editId="75A227F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AE408" w14:textId="77777777" w:rsidR="00CB2660" w:rsidRDefault="002C1641">
                            <w:r>
                              <w:rPr>
                                <w:noProof/>
                              </w:rPr>
                              <w:drawing>
                                <wp:inline distT="0" distB="0" distL="0" distR="0" wp14:anchorId="679C8AF3" wp14:editId="7B8B765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F537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71DAE408" w14:textId="77777777" w:rsidR="00CB2660" w:rsidRDefault="002C1641">
                      <w:r>
                        <w:rPr>
                          <w:noProof/>
                        </w:rPr>
                        <w:drawing>
                          <wp:inline distT="0" distB="0" distL="0" distR="0" wp14:anchorId="679C8AF3" wp14:editId="7B8B765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6814B6A"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936E7F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A6CD87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CBA791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387D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03E6CCA"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5E051A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79A87BE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FA74F9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0A671D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C69E7D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F13AA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2637D5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DCB812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E414DB" wp14:editId="1101059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B455E" w14:textId="4795012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47DB6">
                              <w:rPr>
                                <w:rFonts w:asciiTheme="majorHAnsi" w:hAnsiTheme="majorHAnsi" w:cs="Arial"/>
                                <w:b/>
                                <w:bCs/>
                                <w:color w:val="0D0D0D" w:themeColor="text1" w:themeTint="F2"/>
                                <w:sz w:val="36"/>
                                <w:szCs w:val="40"/>
                              </w:rPr>
                              <w:t>77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358B0">
                              <w:rPr>
                                <w:rFonts w:asciiTheme="majorHAnsi" w:hAnsiTheme="majorHAnsi" w:cs="Arial"/>
                                <w:b/>
                                <w:bCs/>
                                <w:color w:val="0D0D0D" w:themeColor="text1" w:themeTint="F2"/>
                                <w:sz w:val="36"/>
                                <w:szCs w:val="40"/>
                              </w:rPr>
                              <w:t>2</w:t>
                            </w:r>
                          </w:p>
                          <w:p w14:paraId="5F70FE97"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B4491" w:rsidRPr="00EB4491">
                              <w:rPr>
                                <w:rFonts w:asciiTheme="majorHAnsi" w:hAnsiTheme="majorHAnsi" w:cs="Arial"/>
                                <w:b/>
                                <w:bCs/>
                                <w:color w:val="0D0D0D" w:themeColor="text1" w:themeTint="F2"/>
                                <w:sz w:val="36"/>
                                <w:szCs w:val="40"/>
                              </w:rPr>
                              <w:t>1561-13</w:t>
                            </w:r>
                          </w:p>
                          <w:p w14:paraId="0CE3BFB9"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183EE005" w14:textId="77777777" w:rsidR="00450A4A" w:rsidRPr="004B7EB6" w:rsidRDefault="00450A4A" w:rsidP="004B7EB6">
                            <w:pPr>
                              <w:spacing w:line="276" w:lineRule="auto"/>
                              <w:rPr>
                                <w:rFonts w:asciiTheme="majorHAnsi" w:hAnsiTheme="majorHAnsi" w:cs="Arial"/>
                                <w:color w:val="0D0D0D" w:themeColor="text1" w:themeTint="F2"/>
                                <w:szCs w:val="22"/>
                              </w:rPr>
                            </w:pPr>
                          </w:p>
                          <w:p w14:paraId="3F24E20E" w14:textId="77777777" w:rsidR="00F42B71" w:rsidRPr="004B625D" w:rsidRDefault="00EB44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ZAIDA TORRES AND OTHERS</w:t>
                            </w:r>
                          </w:p>
                          <w:p w14:paraId="0500FC72" w14:textId="77777777" w:rsidR="00F42B71" w:rsidRPr="004B625D" w:rsidRDefault="00EB44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1E14E39"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414DB"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240B455E" w14:textId="4795012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47DB6">
                        <w:rPr>
                          <w:rFonts w:asciiTheme="majorHAnsi" w:hAnsiTheme="majorHAnsi" w:cs="Arial"/>
                          <w:b/>
                          <w:bCs/>
                          <w:color w:val="0D0D0D" w:themeColor="text1" w:themeTint="F2"/>
                          <w:sz w:val="36"/>
                          <w:szCs w:val="40"/>
                        </w:rPr>
                        <w:t>77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358B0">
                        <w:rPr>
                          <w:rFonts w:asciiTheme="majorHAnsi" w:hAnsiTheme="majorHAnsi" w:cs="Arial"/>
                          <w:b/>
                          <w:bCs/>
                          <w:color w:val="0D0D0D" w:themeColor="text1" w:themeTint="F2"/>
                          <w:sz w:val="36"/>
                          <w:szCs w:val="40"/>
                        </w:rPr>
                        <w:t>2</w:t>
                      </w:r>
                    </w:p>
                    <w:p w14:paraId="5F70FE97"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B4491" w:rsidRPr="00EB4491">
                        <w:rPr>
                          <w:rFonts w:asciiTheme="majorHAnsi" w:hAnsiTheme="majorHAnsi" w:cs="Arial"/>
                          <w:b/>
                          <w:bCs/>
                          <w:color w:val="0D0D0D" w:themeColor="text1" w:themeTint="F2"/>
                          <w:sz w:val="36"/>
                          <w:szCs w:val="40"/>
                        </w:rPr>
                        <w:t>1561-13</w:t>
                      </w:r>
                    </w:p>
                    <w:p w14:paraId="0CE3BFB9"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183EE005" w14:textId="77777777" w:rsidR="00450A4A" w:rsidRPr="004B7EB6" w:rsidRDefault="00450A4A" w:rsidP="004B7EB6">
                      <w:pPr>
                        <w:spacing w:line="276" w:lineRule="auto"/>
                        <w:rPr>
                          <w:rFonts w:asciiTheme="majorHAnsi" w:hAnsiTheme="majorHAnsi" w:cs="Arial"/>
                          <w:color w:val="0D0D0D" w:themeColor="text1" w:themeTint="F2"/>
                          <w:szCs w:val="22"/>
                        </w:rPr>
                      </w:pPr>
                    </w:p>
                    <w:p w14:paraId="3F24E20E" w14:textId="77777777" w:rsidR="00F42B71" w:rsidRPr="004B625D" w:rsidRDefault="00EB44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ZAIDA TORRES AND OTHERS</w:t>
                      </w:r>
                    </w:p>
                    <w:p w14:paraId="0500FC72" w14:textId="77777777" w:rsidR="00F42B71" w:rsidRPr="004B625D" w:rsidRDefault="00EB44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1E14E39"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F3FC772" wp14:editId="7CD3419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DB79F" w14:textId="3A59101A" w:rsidR="00627C9F" w:rsidRPr="006F573D" w:rsidRDefault="009E566A" w:rsidP="009E566A">
                            <w:pPr>
                              <w:jc w:val="right"/>
                              <w:rPr>
                                <w:rFonts w:asciiTheme="minorHAnsi" w:hAnsiTheme="minorHAnsi"/>
                                <w:color w:val="FFFFFF" w:themeColor="background1"/>
                                <w:sz w:val="22"/>
                              </w:rPr>
                            </w:pPr>
                            <w:r w:rsidRPr="006F573D">
                              <w:rPr>
                                <w:rFonts w:asciiTheme="minorHAnsi" w:hAnsiTheme="minorHAnsi"/>
                                <w:color w:val="FFFFFF" w:themeColor="background1"/>
                                <w:sz w:val="22"/>
                              </w:rPr>
                              <w:t>OEA/Ser.L/V/II</w:t>
                            </w:r>
                          </w:p>
                          <w:p w14:paraId="3C4A2202" w14:textId="7BB65027" w:rsidR="00627C9F" w:rsidRPr="00647DB6" w:rsidRDefault="00CA6577"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 xml:space="preserve">Doc. </w:t>
                            </w:r>
                            <w:r w:rsidR="00647DB6" w:rsidRPr="00647DB6">
                              <w:rPr>
                                <w:rFonts w:asciiTheme="minorHAnsi" w:hAnsiTheme="minorHAnsi"/>
                                <w:color w:val="FFFFFF" w:themeColor="background1"/>
                                <w:sz w:val="22"/>
                              </w:rPr>
                              <w:t>80</w:t>
                            </w:r>
                          </w:p>
                          <w:p w14:paraId="03077900" w14:textId="2E6E86B7" w:rsidR="00627C9F" w:rsidRPr="00647DB6" w:rsidRDefault="00022CF5"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 xml:space="preserve"> </w:t>
                            </w:r>
                            <w:r w:rsidR="00647DB6">
                              <w:rPr>
                                <w:rFonts w:asciiTheme="minorHAnsi" w:hAnsiTheme="minorHAnsi"/>
                                <w:color w:val="FFFFFF" w:themeColor="background1"/>
                                <w:sz w:val="22"/>
                              </w:rPr>
                              <w:t>5 April</w:t>
                            </w:r>
                            <w:r w:rsidR="000C4365" w:rsidRPr="00647DB6">
                              <w:rPr>
                                <w:rFonts w:asciiTheme="minorHAnsi" w:hAnsiTheme="minorHAnsi"/>
                                <w:color w:val="FFFFFF" w:themeColor="background1"/>
                                <w:sz w:val="22"/>
                              </w:rPr>
                              <w:t xml:space="preserve"> </w:t>
                            </w:r>
                            <w:r w:rsidR="00F42B71" w:rsidRPr="00647DB6">
                              <w:rPr>
                                <w:rFonts w:asciiTheme="minorHAnsi" w:hAnsiTheme="minorHAnsi"/>
                                <w:color w:val="FFFFFF" w:themeColor="background1"/>
                                <w:sz w:val="22"/>
                              </w:rPr>
                              <w:t>20</w:t>
                            </w:r>
                            <w:r w:rsidR="00647DB6">
                              <w:rPr>
                                <w:rFonts w:asciiTheme="minorHAnsi" w:hAnsiTheme="minorHAnsi"/>
                                <w:color w:val="FFFFFF" w:themeColor="background1"/>
                                <w:sz w:val="22"/>
                              </w:rPr>
                              <w:t>22</w:t>
                            </w:r>
                          </w:p>
                          <w:p w14:paraId="50B9B969" w14:textId="77777777" w:rsidR="00627C9F" w:rsidRPr="00647DB6" w:rsidRDefault="00627C9F"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Original:</w:t>
                            </w:r>
                            <w:r w:rsidR="002C1641" w:rsidRPr="00647DB6">
                              <w:rPr>
                                <w:rFonts w:asciiTheme="minorHAnsi" w:hAnsiTheme="minorHAnsi"/>
                                <w:color w:val="FFFFFF" w:themeColor="background1"/>
                                <w:sz w:val="22"/>
                              </w:rPr>
                              <w:t xml:space="preserve"> </w:t>
                            </w:r>
                            <w:r w:rsidR="000C4365" w:rsidRPr="00647D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C77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F0DB79F" w14:textId="3A59101A" w:rsidR="00627C9F" w:rsidRPr="006F573D" w:rsidRDefault="009E566A" w:rsidP="009E566A">
                      <w:pPr>
                        <w:jc w:val="right"/>
                        <w:rPr>
                          <w:rFonts w:asciiTheme="minorHAnsi" w:hAnsiTheme="minorHAnsi"/>
                          <w:color w:val="FFFFFF" w:themeColor="background1"/>
                          <w:sz w:val="22"/>
                        </w:rPr>
                      </w:pPr>
                      <w:r w:rsidRPr="006F573D">
                        <w:rPr>
                          <w:rFonts w:asciiTheme="minorHAnsi" w:hAnsiTheme="minorHAnsi"/>
                          <w:color w:val="FFFFFF" w:themeColor="background1"/>
                          <w:sz w:val="22"/>
                        </w:rPr>
                        <w:t>OEA/Ser.L/V/II</w:t>
                      </w:r>
                    </w:p>
                    <w:p w14:paraId="3C4A2202" w14:textId="7BB65027" w:rsidR="00627C9F" w:rsidRPr="00647DB6" w:rsidRDefault="00CA6577"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 xml:space="preserve">Doc. </w:t>
                      </w:r>
                      <w:r w:rsidR="00647DB6" w:rsidRPr="00647DB6">
                        <w:rPr>
                          <w:rFonts w:asciiTheme="minorHAnsi" w:hAnsiTheme="minorHAnsi"/>
                          <w:color w:val="FFFFFF" w:themeColor="background1"/>
                          <w:sz w:val="22"/>
                        </w:rPr>
                        <w:t>80</w:t>
                      </w:r>
                    </w:p>
                    <w:p w14:paraId="03077900" w14:textId="2E6E86B7" w:rsidR="00627C9F" w:rsidRPr="00647DB6" w:rsidRDefault="00022CF5"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 xml:space="preserve"> </w:t>
                      </w:r>
                      <w:r w:rsidR="00647DB6">
                        <w:rPr>
                          <w:rFonts w:asciiTheme="minorHAnsi" w:hAnsiTheme="minorHAnsi"/>
                          <w:color w:val="FFFFFF" w:themeColor="background1"/>
                          <w:sz w:val="22"/>
                        </w:rPr>
                        <w:t>5 April</w:t>
                      </w:r>
                      <w:r w:rsidR="000C4365" w:rsidRPr="00647DB6">
                        <w:rPr>
                          <w:rFonts w:asciiTheme="minorHAnsi" w:hAnsiTheme="minorHAnsi"/>
                          <w:color w:val="FFFFFF" w:themeColor="background1"/>
                          <w:sz w:val="22"/>
                        </w:rPr>
                        <w:t xml:space="preserve"> </w:t>
                      </w:r>
                      <w:r w:rsidR="00F42B71" w:rsidRPr="00647DB6">
                        <w:rPr>
                          <w:rFonts w:asciiTheme="minorHAnsi" w:hAnsiTheme="minorHAnsi"/>
                          <w:color w:val="FFFFFF" w:themeColor="background1"/>
                          <w:sz w:val="22"/>
                        </w:rPr>
                        <w:t>20</w:t>
                      </w:r>
                      <w:r w:rsidR="00647DB6">
                        <w:rPr>
                          <w:rFonts w:asciiTheme="minorHAnsi" w:hAnsiTheme="minorHAnsi"/>
                          <w:color w:val="FFFFFF" w:themeColor="background1"/>
                          <w:sz w:val="22"/>
                        </w:rPr>
                        <w:t>22</w:t>
                      </w:r>
                    </w:p>
                    <w:p w14:paraId="50B9B969" w14:textId="77777777" w:rsidR="00627C9F" w:rsidRPr="00647DB6" w:rsidRDefault="00627C9F" w:rsidP="009E566A">
                      <w:pPr>
                        <w:jc w:val="right"/>
                        <w:rPr>
                          <w:rFonts w:asciiTheme="minorHAnsi" w:hAnsiTheme="minorHAnsi"/>
                          <w:color w:val="FFFFFF" w:themeColor="background1"/>
                          <w:sz w:val="22"/>
                        </w:rPr>
                      </w:pPr>
                      <w:r w:rsidRPr="00647DB6">
                        <w:rPr>
                          <w:rFonts w:asciiTheme="minorHAnsi" w:hAnsiTheme="minorHAnsi"/>
                          <w:color w:val="FFFFFF" w:themeColor="background1"/>
                          <w:sz w:val="22"/>
                        </w:rPr>
                        <w:t>Original:</w:t>
                      </w:r>
                      <w:r w:rsidR="002C1641" w:rsidRPr="00647DB6">
                        <w:rPr>
                          <w:rFonts w:asciiTheme="minorHAnsi" w:hAnsiTheme="minorHAnsi"/>
                          <w:color w:val="FFFFFF" w:themeColor="background1"/>
                          <w:sz w:val="22"/>
                        </w:rPr>
                        <w:t xml:space="preserve"> </w:t>
                      </w:r>
                      <w:r w:rsidR="000C4365" w:rsidRPr="00647DB6">
                        <w:rPr>
                          <w:rFonts w:asciiTheme="minorHAnsi" w:hAnsiTheme="minorHAnsi"/>
                          <w:color w:val="FFFFFF" w:themeColor="background1"/>
                          <w:sz w:val="22"/>
                        </w:rPr>
                        <w:t>English</w:t>
                      </w:r>
                    </w:p>
                  </w:txbxContent>
                </v:textbox>
              </v:shape>
            </w:pict>
          </mc:Fallback>
        </mc:AlternateContent>
      </w:r>
    </w:p>
    <w:p w14:paraId="432701F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82A20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108E4C0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E072A1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3E7939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617029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CC48A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70C260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1BC1F2"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BEC2DD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EA8660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5F06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7E467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46339C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AD21C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5F57A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6A5F8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CE00A7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9FDA50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2B11A3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47A8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27F94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793756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0B00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42C73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4F3A9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8854AF" wp14:editId="3C25B024">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B78F5" w14:textId="4057854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E26F34">
                              <w:rPr>
                                <w:rFonts w:asciiTheme="majorHAnsi" w:hAnsiTheme="majorHAnsi"/>
                                <w:color w:val="0D0D0D" w:themeColor="text1" w:themeTint="F2"/>
                                <w:sz w:val="18"/>
                                <w:szCs w:val="20"/>
                              </w:rPr>
                              <w:t xml:space="preserve"> </w:t>
                            </w:r>
                            <w:r w:rsidR="00E26F34"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E26F34">
                              <w:rPr>
                                <w:rFonts w:asciiTheme="majorHAnsi" w:hAnsiTheme="majorHAnsi"/>
                                <w:color w:val="0D0D0D" w:themeColor="text1" w:themeTint="F2"/>
                                <w:sz w:val="18"/>
                                <w:szCs w:val="20"/>
                              </w:rPr>
                              <w:t>April 5,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54AF"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382B78F5" w14:textId="4057854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E26F34">
                        <w:rPr>
                          <w:rFonts w:asciiTheme="majorHAnsi" w:hAnsiTheme="majorHAnsi"/>
                          <w:color w:val="0D0D0D" w:themeColor="text1" w:themeTint="F2"/>
                          <w:sz w:val="18"/>
                          <w:szCs w:val="20"/>
                        </w:rPr>
                        <w:t xml:space="preserve"> </w:t>
                      </w:r>
                      <w:r w:rsidR="00E26F34"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E26F34">
                        <w:rPr>
                          <w:rFonts w:asciiTheme="majorHAnsi" w:hAnsiTheme="majorHAnsi"/>
                          <w:color w:val="0D0D0D" w:themeColor="text1" w:themeTint="F2"/>
                          <w:sz w:val="18"/>
                          <w:szCs w:val="20"/>
                        </w:rPr>
                        <w:t>April 5, 2022.</w:t>
                      </w:r>
                    </w:p>
                  </w:txbxContent>
                </v:textbox>
              </v:shape>
            </w:pict>
          </mc:Fallback>
        </mc:AlternateContent>
      </w:r>
    </w:p>
    <w:p w14:paraId="52879D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BF9CB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EC279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AB7C9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BA7185"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CE32481" wp14:editId="00FC310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F1BC4" w14:textId="0CED8EE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6F34">
                              <w:rPr>
                                <w:rFonts w:asciiTheme="majorHAnsi" w:hAnsiTheme="majorHAnsi"/>
                                <w:color w:val="595959" w:themeColor="text1" w:themeTint="A6"/>
                                <w:sz w:val="18"/>
                              </w:rPr>
                              <w:t>77</w:t>
                            </w:r>
                            <w:r w:rsidR="00022CF5">
                              <w:rPr>
                                <w:rFonts w:asciiTheme="majorHAnsi" w:hAnsiTheme="majorHAnsi"/>
                                <w:color w:val="595959" w:themeColor="text1" w:themeTint="A6"/>
                                <w:sz w:val="18"/>
                              </w:rPr>
                              <w:t>/</w:t>
                            </w:r>
                            <w:r w:rsidR="00E26F34">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26F34">
                              <w:rPr>
                                <w:rFonts w:asciiTheme="majorHAnsi" w:hAnsiTheme="majorHAnsi"/>
                                <w:color w:val="595959" w:themeColor="text1" w:themeTint="A6"/>
                                <w:sz w:val="18"/>
                              </w:rPr>
                              <w:t>1561</w:t>
                            </w:r>
                            <w:r w:rsidR="00F621C3">
                              <w:rPr>
                                <w:rFonts w:asciiTheme="majorHAnsi" w:hAnsiTheme="majorHAnsi"/>
                                <w:color w:val="595959" w:themeColor="text1" w:themeTint="A6"/>
                                <w:sz w:val="18"/>
                              </w:rPr>
                              <w:t>-</w:t>
                            </w:r>
                            <w:r w:rsidR="00E26F34">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Zaida Torres and others</w:t>
                            </w:r>
                            <w:r w:rsidRPr="003C32BC">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April 5,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248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F5F1BC4" w14:textId="0CED8EE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6F34">
                        <w:rPr>
                          <w:rFonts w:asciiTheme="majorHAnsi" w:hAnsiTheme="majorHAnsi"/>
                          <w:color w:val="595959" w:themeColor="text1" w:themeTint="A6"/>
                          <w:sz w:val="18"/>
                        </w:rPr>
                        <w:t>77</w:t>
                      </w:r>
                      <w:r w:rsidR="00022CF5">
                        <w:rPr>
                          <w:rFonts w:asciiTheme="majorHAnsi" w:hAnsiTheme="majorHAnsi"/>
                          <w:color w:val="595959" w:themeColor="text1" w:themeTint="A6"/>
                          <w:sz w:val="18"/>
                        </w:rPr>
                        <w:t>/</w:t>
                      </w:r>
                      <w:r w:rsidR="00E26F34">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26F34">
                        <w:rPr>
                          <w:rFonts w:asciiTheme="majorHAnsi" w:hAnsiTheme="majorHAnsi"/>
                          <w:color w:val="595959" w:themeColor="text1" w:themeTint="A6"/>
                          <w:sz w:val="18"/>
                        </w:rPr>
                        <w:t>1561</w:t>
                      </w:r>
                      <w:r w:rsidR="00F621C3">
                        <w:rPr>
                          <w:rFonts w:asciiTheme="majorHAnsi" w:hAnsiTheme="majorHAnsi"/>
                          <w:color w:val="595959" w:themeColor="text1" w:themeTint="A6"/>
                          <w:sz w:val="18"/>
                        </w:rPr>
                        <w:t>-</w:t>
                      </w:r>
                      <w:r w:rsidR="00E26F34">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Zaida Torres and others</w:t>
                      </w:r>
                      <w:r w:rsidRPr="003C32BC">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26F34">
                        <w:rPr>
                          <w:rFonts w:asciiTheme="majorHAnsi" w:hAnsiTheme="majorHAnsi"/>
                          <w:color w:val="595959" w:themeColor="text1" w:themeTint="A6"/>
                          <w:sz w:val="18"/>
                        </w:rPr>
                        <w:t>April 5, 2022</w:t>
                      </w:r>
                      <w:r w:rsidRPr="007607C4">
                        <w:rPr>
                          <w:rFonts w:asciiTheme="majorHAnsi" w:hAnsiTheme="majorHAnsi"/>
                          <w:color w:val="595959" w:themeColor="text1" w:themeTint="A6"/>
                          <w:sz w:val="18"/>
                        </w:rPr>
                        <w:t>.</w:t>
                      </w:r>
                    </w:p>
                  </w:txbxContent>
                </v:textbox>
              </v:shape>
            </w:pict>
          </mc:Fallback>
        </mc:AlternateContent>
      </w:r>
    </w:p>
    <w:p w14:paraId="66A1C7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76A48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7F5565" w14:textId="77777777" w:rsidR="003C32BC" w:rsidRPr="003C32BC" w:rsidRDefault="003C32BC" w:rsidP="003C32BC">
      <w:pPr>
        <w:tabs>
          <w:tab w:val="center" w:pos="5400"/>
        </w:tabs>
        <w:suppressAutoHyphens/>
        <w:jc w:val="center"/>
        <w:rPr>
          <w:rFonts w:asciiTheme="majorHAnsi" w:hAnsiTheme="majorHAnsi"/>
          <w:sz w:val="18"/>
          <w:szCs w:val="22"/>
        </w:rPr>
      </w:pPr>
    </w:p>
    <w:p w14:paraId="76FC0012"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5F16395" wp14:editId="7886320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28D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6395"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27828D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F3944BA" wp14:editId="630E70D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5B472" w14:textId="77777777" w:rsidR="003C32BC" w:rsidRDefault="00946ACE">
                            <w:r>
                              <w:rPr>
                                <w:noProof/>
                              </w:rPr>
                              <w:drawing>
                                <wp:inline distT="0" distB="0" distL="0" distR="0" wp14:anchorId="30492282" wp14:editId="00BDA2C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944BA"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0A35B472" w14:textId="77777777" w:rsidR="003C32BC" w:rsidRDefault="00946ACE">
                      <w:r>
                        <w:rPr>
                          <w:noProof/>
                        </w:rPr>
                        <w:drawing>
                          <wp:inline distT="0" distB="0" distL="0" distR="0" wp14:anchorId="30492282" wp14:editId="00BDA2C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3C9BA07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9679454"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B4491" w14:paraId="1C0547C8" w14:textId="77777777" w:rsidTr="00B06BB7">
        <w:tc>
          <w:tcPr>
            <w:tcW w:w="3690" w:type="dxa"/>
            <w:tcBorders>
              <w:top w:val="single" w:sz="4" w:space="0" w:color="auto"/>
              <w:bottom w:val="single" w:sz="6" w:space="0" w:color="auto"/>
            </w:tcBorders>
            <w:shd w:val="clear" w:color="auto" w:fill="67AE3C"/>
            <w:vAlign w:val="center"/>
          </w:tcPr>
          <w:p w14:paraId="55B21C9A" w14:textId="7777777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EB4491">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2D0021BA" w14:textId="77777777" w:rsidR="00EB4491" w:rsidRPr="00C358B0" w:rsidRDefault="00EB4491" w:rsidP="00EB4491">
            <w:pPr>
              <w:jc w:val="both"/>
              <w:rPr>
                <w:rFonts w:ascii="Cambria" w:hAnsi="Cambria"/>
                <w:bCs/>
                <w:sz w:val="20"/>
                <w:szCs w:val="20"/>
              </w:rPr>
            </w:pPr>
            <w:r w:rsidRPr="00C358B0">
              <w:rPr>
                <w:rFonts w:ascii="Cambria" w:hAnsi="Cambria"/>
                <w:bCs/>
                <w:sz w:val="20"/>
                <w:szCs w:val="20"/>
              </w:rPr>
              <w:t>Natasha Lycia Ora Bannan (National Lawyers Guild), Annette Martínez-Orabona (Instituto Caribeño de Derechos Humanos</w:t>
            </w:r>
          </w:p>
          <w:p w14:paraId="791AB7FB" w14:textId="77777777" w:rsidR="00EB4491" w:rsidRPr="00C358B0" w:rsidRDefault="00EB4491" w:rsidP="00EB4491">
            <w:pPr>
              <w:jc w:val="both"/>
              <w:rPr>
                <w:rFonts w:ascii="Cambria" w:hAnsi="Cambria"/>
                <w:bCs/>
                <w:sz w:val="20"/>
                <w:szCs w:val="20"/>
              </w:rPr>
            </w:pPr>
            <w:r w:rsidRPr="00C358B0">
              <w:rPr>
                <w:rFonts w:ascii="Cambria" w:hAnsi="Cambria"/>
                <w:bCs/>
                <w:sz w:val="20"/>
                <w:szCs w:val="20"/>
              </w:rPr>
              <w:t>Clínica Internacional de Derechos Humanos Facultad de Derecho</w:t>
            </w:r>
          </w:p>
          <w:p w14:paraId="1111091B" w14:textId="77777777" w:rsidR="00EB4491" w:rsidRPr="00EB4491" w:rsidRDefault="00EB4491" w:rsidP="00EB4491">
            <w:pPr>
              <w:jc w:val="both"/>
              <w:rPr>
                <w:rFonts w:ascii="Cambria" w:hAnsi="Cambria"/>
                <w:bCs/>
                <w:sz w:val="20"/>
                <w:szCs w:val="20"/>
                <w:lang w:val="es-US"/>
              </w:rPr>
            </w:pPr>
            <w:r w:rsidRPr="00EB4491">
              <w:rPr>
                <w:rFonts w:ascii="Cambria" w:hAnsi="Cambria"/>
                <w:bCs/>
                <w:sz w:val="20"/>
                <w:szCs w:val="20"/>
                <w:lang w:val="es-US"/>
              </w:rPr>
              <w:t>Universidad Interamericana de Puerto Rico</w:t>
            </w:r>
            <w:r>
              <w:rPr>
                <w:rFonts w:ascii="Cambria" w:hAnsi="Cambria"/>
                <w:bCs/>
                <w:sz w:val="20"/>
                <w:szCs w:val="20"/>
                <w:lang w:val="es-US"/>
              </w:rPr>
              <w:t xml:space="preserve">), </w:t>
            </w:r>
            <w:r w:rsidRPr="00EB4491">
              <w:rPr>
                <w:rFonts w:ascii="Cambria" w:hAnsi="Cambria"/>
                <w:bCs/>
                <w:sz w:val="20"/>
                <w:szCs w:val="20"/>
                <w:lang w:val="es-US"/>
              </w:rPr>
              <w:t>Lauren Carasik</w:t>
            </w:r>
          </w:p>
          <w:p w14:paraId="5596FA18" w14:textId="77777777" w:rsidR="00F621C3" w:rsidRPr="00EB4491" w:rsidRDefault="00EB4491" w:rsidP="00EB4491">
            <w:pPr>
              <w:jc w:val="both"/>
              <w:rPr>
                <w:rFonts w:ascii="Cambria" w:hAnsi="Cambria"/>
                <w:bCs/>
                <w:sz w:val="20"/>
                <w:szCs w:val="20"/>
              </w:rPr>
            </w:pPr>
            <w:r w:rsidRPr="00EB4491">
              <w:rPr>
                <w:rFonts w:ascii="Cambria" w:hAnsi="Cambria"/>
                <w:bCs/>
                <w:sz w:val="20"/>
                <w:szCs w:val="20"/>
              </w:rPr>
              <w:t>(In</w:t>
            </w:r>
            <w:r>
              <w:rPr>
                <w:rFonts w:ascii="Cambria" w:hAnsi="Cambria"/>
                <w:bCs/>
                <w:sz w:val="20"/>
                <w:szCs w:val="20"/>
              </w:rPr>
              <w:t xml:space="preserve">ternational Human Rights Clinic Western New England University </w:t>
            </w:r>
            <w:r w:rsidRPr="00EB4491">
              <w:rPr>
                <w:rFonts w:ascii="Cambria" w:hAnsi="Cambria"/>
                <w:bCs/>
                <w:sz w:val="20"/>
                <w:szCs w:val="20"/>
              </w:rPr>
              <w:t>School of Law</w:t>
            </w:r>
            <w:r>
              <w:rPr>
                <w:rFonts w:ascii="Cambria" w:hAnsi="Cambria"/>
                <w:bCs/>
                <w:sz w:val="20"/>
                <w:szCs w:val="20"/>
              </w:rPr>
              <w:t xml:space="preserve">) and the </w:t>
            </w:r>
            <w:r w:rsidRPr="00EB4491">
              <w:rPr>
                <w:rFonts w:ascii="Cambria" w:hAnsi="Cambria"/>
                <w:bCs/>
                <w:sz w:val="20"/>
                <w:szCs w:val="20"/>
              </w:rPr>
              <w:t>Alianza de Mujeres Viequenses</w:t>
            </w:r>
          </w:p>
        </w:tc>
      </w:tr>
      <w:tr w:rsidR="00F621C3" w:rsidRPr="009844CF" w14:paraId="4385C31D" w14:textId="77777777" w:rsidTr="00B06BB7">
        <w:tc>
          <w:tcPr>
            <w:tcW w:w="3690" w:type="dxa"/>
            <w:tcBorders>
              <w:top w:val="single" w:sz="6" w:space="0" w:color="auto"/>
              <w:bottom w:val="single" w:sz="6" w:space="0" w:color="auto"/>
            </w:tcBorders>
            <w:shd w:val="clear" w:color="auto" w:fill="67AE3C"/>
            <w:vAlign w:val="center"/>
          </w:tcPr>
          <w:p w14:paraId="119F8E10" w14:textId="77777777" w:rsidR="00F621C3" w:rsidRPr="000B6B7A" w:rsidRDefault="0003452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EB4491">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3119BD73" w14:textId="0577E846" w:rsidR="00F621C3" w:rsidRPr="009844CF" w:rsidRDefault="009844CF" w:rsidP="00D63148">
            <w:pPr>
              <w:jc w:val="both"/>
              <w:rPr>
                <w:rFonts w:ascii="Cambria" w:hAnsi="Cambria"/>
                <w:bCs/>
                <w:sz w:val="20"/>
                <w:szCs w:val="20"/>
              </w:rPr>
            </w:pPr>
            <w:r w:rsidRPr="009844CF">
              <w:rPr>
                <w:rFonts w:ascii="Cambria" w:hAnsi="Cambria"/>
                <w:bCs/>
                <w:sz w:val="20"/>
                <w:szCs w:val="20"/>
              </w:rPr>
              <w:t xml:space="preserve">Zaida Torres and </w:t>
            </w:r>
            <w:r>
              <w:rPr>
                <w:rFonts w:ascii="Cambria" w:hAnsi="Cambria"/>
                <w:bCs/>
                <w:sz w:val="20"/>
                <w:szCs w:val="20"/>
              </w:rPr>
              <w:t>other</w:t>
            </w:r>
            <w:r>
              <w:rPr>
                <w:rStyle w:val="FootnoteReference"/>
                <w:rFonts w:ascii="Cambria" w:hAnsi="Cambria"/>
                <w:bCs/>
                <w:sz w:val="20"/>
                <w:szCs w:val="20"/>
              </w:rPr>
              <w:footnoteReference w:id="2"/>
            </w:r>
            <w:r w:rsidR="002E30CC" w:rsidRPr="009844CF">
              <w:rPr>
                <w:rFonts w:ascii="Cambria" w:hAnsi="Cambria"/>
                <w:bCs/>
                <w:sz w:val="20"/>
                <w:szCs w:val="20"/>
              </w:rPr>
              <w:t xml:space="preserve"> </w:t>
            </w:r>
          </w:p>
        </w:tc>
      </w:tr>
      <w:tr w:rsidR="00F621C3" w:rsidRPr="000B6B7A" w14:paraId="6ED230ED" w14:textId="77777777" w:rsidTr="00B06BB7">
        <w:tc>
          <w:tcPr>
            <w:tcW w:w="3690" w:type="dxa"/>
            <w:tcBorders>
              <w:top w:val="single" w:sz="6" w:space="0" w:color="auto"/>
              <w:bottom w:val="single" w:sz="6" w:space="0" w:color="auto"/>
            </w:tcBorders>
            <w:shd w:val="clear" w:color="auto" w:fill="67AE3C"/>
            <w:vAlign w:val="center"/>
          </w:tcPr>
          <w:p w14:paraId="7D9AFD4F"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DF4AE5E" w14:textId="77777777" w:rsidR="00F621C3" w:rsidRPr="000B6B7A" w:rsidRDefault="00F90BF0" w:rsidP="009163FC">
            <w:pPr>
              <w:jc w:val="both"/>
              <w:rPr>
                <w:rFonts w:ascii="Cambria" w:hAnsi="Cambria"/>
                <w:bCs/>
                <w:sz w:val="20"/>
                <w:szCs w:val="20"/>
              </w:rPr>
            </w:pPr>
            <w:r>
              <w:rPr>
                <w:rFonts w:ascii="Cambria" w:hAnsi="Cambria"/>
                <w:bCs/>
                <w:sz w:val="20"/>
                <w:szCs w:val="20"/>
              </w:rPr>
              <w:t>United States of America</w:t>
            </w:r>
            <w:r>
              <w:rPr>
                <w:rStyle w:val="FootnoteReference"/>
                <w:rFonts w:ascii="Cambria" w:hAnsi="Cambria"/>
                <w:bCs/>
                <w:sz w:val="20"/>
                <w:szCs w:val="20"/>
              </w:rPr>
              <w:footnoteReference w:id="3"/>
            </w:r>
          </w:p>
        </w:tc>
      </w:tr>
      <w:tr w:rsidR="00E47F3D" w:rsidRPr="000B6B7A" w14:paraId="3B025F25" w14:textId="77777777" w:rsidTr="00B06BB7">
        <w:tc>
          <w:tcPr>
            <w:tcW w:w="3690" w:type="dxa"/>
            <w:tcBorders>
              <w:top w:val="single" w:sz="6" w:space="0" w:color="auto"/>
              <w:bottom w:val="single" w:sz="6" w:space="0" w:color="auto"/>
            </w:tcBorders>
            <w:shd w:val="clear" w:color="auto" w:fill="67AE3C"/>
            <w:vAlign w:val="center"/>
          </w:tcPr>
          <w:p w14:paraId="10ABD9B4"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2BCB8D8F" w14:textId="77777777" w:rsidR="00E47F3D" w:rsidRPr="000B6B7A" w:rsidRDefault="00123A6A" w:rsidP="00123A6A">
            <w:pPr>
              <w:jc w:val="both"/>
              <w:rPr>
                <w:rFonts w:ascii="Cambria" w:hAnsi="Cambria"/>
                <w:bCs/>
                <w:sz w:val="20"/>
                <w:szCs w:val="20"/>
              </w:rPr>
            </w:pPr>
            <w:r>
              <w:rPr>
                <w:rFonts w:ascii="Cambria" w:hAnsi="Cambria"/>
                <w:bCs/>
                <w:sz w:val="20"/>
                <w:szCs w:val="20"/>
              </w:rPr>
              <w:t xml:space="preserve">Articles </w:t>
            </w:r>
            <w:r w:rsidRPr="00123A6A">
              <w:rPr>
                <w:rFonts w:ascii="Cambria" w:hAnsi="Cambria"/>
                <w:bCs/>
                <w:sz w:val="20"/>
                <w:szCs w:val="20"/>
              </w:rPr>
              <w:t>I</w:t>
            </w:r>
            <w:r>
              <w:rPr>
                <w:rFonts w:ascii="Cambria" w:hAnsi="Cambria"/>
                <w:bCs/>
                <w:sz w:val="20"/>
                <w:szCs w:val="20"/>
              </w:rPr>
              <w:t xml:space="preserve"> </w:t>
            </w:r>
            <w:r w:rsidRPr="00123A6A">
              <w:rPr>
                <w:rFonts w:ascii="Cambria" w:hAnsi="Cambria"/>
                <w:bCs/>
                <w:sz w:val="20"/>
                <w:szCs w:val="20"/>
              </w:rPr>
              <w:t>(Right to life, liberty and personal security), IV</w:t>
            </w:r>
            <w:r>
              <w:rPr>
                <w:rFonts w:ascii="Cambria" w:hAnsi="Cambria"/>
                <w:bCs/>
                <w:sz w:val="20"/>
                <w:szCs w:val="20"/>
              </w:rPr>
              <w:t xml:space="preserve"> (</w:t>
            </w:r>
            <w:r w:rsidRPr="00123A6A">
              <w:rPr>
                <w:rFonts w:ascii="Cambria" w:hAnsi="Cambria"/>
                <w:bCs/>
                <w:sz w:val="20"/>
                <w:szCs w:val="20"/>
              </w:rPr>
              <w:t>(Right to freedom of investigation, opinio</w:t>
            </w:r>
            <w:r>
              <w:rPr>
                <w:rFonts w:ascii="Cambria" w:hAnsi="Cambria"/>
                <w:bCs/>
                <w:sz w:val="20"/>
                <w:szCs w:val="20"/>
              </w:rPr>
              <w:t>n, expression and dissemination</w:t>
            </w:r>
            <w:r w:rsidRPr="00123A6A">
              <w:rPr>
                <w:rFonts w:ascii="Cambria" w:hAnsi="Cambria"/>
                <w:bCs/>
                <w:sz w:val="20"/>
                <w:szCs w:val="20"/>
              </w:rPr>
              <w:t>), VI</w:t>
            </w:r>
            <w:r w:rsidR="007E00CA">
              <w:rPr>
                <w:rFonts w:ascii="Cambria" w:hAnsi="Cambria"/>
                <w:bCs/>
                <w:sz w:val="20"/>
                <w:szCs w:val="20"/>
              </w:rPr>
              <w:t xml:space="preserve"> </w:t>
            </w:r>
            <w:r w:rsidRPr="00123A6A">
              <w:rPr>
                <w:rFonts w:ascii="Cambria" w:hAnsi="Cambria"/>
                <w:bCs/>
                <w:sz w:val="20"/>
                <w:szCs w:val="20"/>
              </w:rPr>
              <w:t>(Right to a f</w:t>
            </w:r>
            <w:r>
              <w:rPr>
                <w:rFonts w:ascii="Cambria" w:hAnsi="Cambria"/>
                <w:bCs/>
                <w:sz w:val="20"/>
                <w:szCs w:val="20"/>
              </w:rPr>
              <w:t>amily and to protection thereof</w:t>
            </w:r>
            <w:r w:rsidRPr="00123A6A">
              <w:rPr>
                <w:rFonts w:ascii="Cambria" w:hAnsi="Cambria"/>
                <w:bCs/>
                <w:sz w:val="20"/>
                <w:szCs w:val="20"/>
              </w:rPr>
              <w:t>), VII</w:t>
            </w:r>
            <w:r>
              <w:rPr>
                <w:rFonts w:ascii="Cambria" w:hAnsi="Cambria"/>
                <w:bCs/>
                <w:sz w:val="20"/>
                <w:szCs w:val="20"/>
              </w:rPr>
              <w:t xml:space="preserve"> </w:t>
            </w:r>
            <w:r w:rsidRPr="00123A6A">
              <w:rPr>
                <w:rFonts w:ascii="Cambria" w:hAnsi="Cambria"/>
                <w:bCs/>
                <w:sz w:val="20"/>
                <w:szCs w:val="20"/>
              </w:rPr>
              <w:t>(Right to prot</w:t>
            </w:r>
            <w:r>
              <w:rPr>
                <w:rFonts w:ascii="Cambria" w:hAnsi="Cambria"/>
                <w:bCs/>
                <w:sz w:val="20"/>
                <w:szCs w:val="20"/>
              </w:rPr>
              <w:t>ection for mothers and children</w:t>
            </w:r>
            <w:r w:rsidRPr="00123A6A">
              <w:rPr>
                <w:rFonts w:ascii="Cambria" w:hAnsi="Cambria"/>
                <w:bCs/>
                <w:sz w:val="20"/>
                <w:szCs w:val="20"/>
              </w:rPr>
              <w:t>),</w:t>
            </w:r>
            <w:r>
              <w:rPr>
                <w:rFonts w:ascii="Cambria" w:hAnsi="Cambria"/>
                <w:bCs/>
                <w:sz w:val="20"/>
                <w:szCs w:val="20"/>
              </w:rPr>
              <w:t xml:space="preserve"> VIII</w:t>
            </w:r>
            <w:r w:rsidR="007E00CA">
              <w:rPr>
                <w:rFonts w:ascii="Cambria" w:hAnsi="Cambria"/>
                <w:bCs/>
                <w:sz w:val="20"/>
                <w:szCs w:val="20"/>
              </w:rPr>
              <w:t xml:space="preserve"> </w:t>
            </w:r>
            <w:r w:rsidR="005C7462" w:rsidRPr="005C7462">
              <w:rPr>
                <w:rFonts w:ascii="Cambria" w:hAnsi="Cambria"/>
                <w:bCs/>
                <w:sz w:val="20"/>
                <w:szCs w:val="20"/>
              </w:rPr>
              <w:t>(</w:t>
            </w:r>
            <w:r w:rsidR="005C7462">
              <w:rPr>
                <w:rFonts w:ascii="Cambria" w:hAnsi="Cambria"/>
                <w:bCs/>
                <w:sz w:val="20"/>
                <w:szCs w:val="20"/>
              </w:rPr>
              <w:t>Right to residence and movement</w:t>
            </w:r>
            <w:r w:rsidR="005C7462" w:rsidRPr="005C7462">
              <w:rPr>
                <w:rFonts w:ascii="Cambria" w:hAnsi="Cambria"/>
                <w:bCs/>
                <w:sz w:val="20"/>
                <w:szCs w:val="20"/>
              </w:rPr>
              <w:t>)</w:t>
            </w:r>
            <w:r>
              <w:rPr>
                <w:rFonts w:ascii="Cambria" w:hAnsi="Cambria"/>
                <w:bCs/>
                <w:sz w:val="20"/>
                <w:szCs w:val="20"/>
              </w:rPr>
              <w:t>, IX</w:t>
            </w:r>
            <w:r w:rsidR="005C7462">
              <w:rPr>
                <w:rFonts w:ascii="Cambria" w:hAnsi="Cambria"/>
                <w:bCs/>
                <w:sz w:val="20"/>
                <w:szCs w:val="20"/>
              </w:rPr>
              <w:t xml:space="preserve"> </w:t>
            </w:r>
            <w:r w:rsidR="005C7462" w:rsidRPr="005C7462">
              <w:rPr>
                <w:rFonts w:ascii="Cambria" w:hAnsi="Cambria"/>
                <w:bCs/>
                <w:sz w:val="20"/>
                <w:szCs w:val="20"/>
              </w:rPr>
              <w:t>(Right to</w:t>
            </w:r>
            <w:r w:rsidR="005C7462">
              <w:rPr>
                <w:rFonts w:ascii="Cambria" w:hAnsi="Cambria"/>
                <w:bCs/>
                <w:sz w:val="20"/>
                <w:szCs w:val="20"/>
              </w:rPr>
              <w:t xml:space="preserve"> inviolability of the home</w:t>
            </w:r>
            <w:r w:rsidR="005C7462" w:rsidRPr="005C7462">
              <w:rPr>
                <w:rFonts w:ascii="Cambria" w:hAnsi="Cambria"/>
                <w:bCs/>
                <w:sz w:val="20"/>
                <w:szCs w:val="20"/>
              </w:rPr>
              <w:t>)</w:t>
            </w:r>
            <w:r>
              <w:rPr>
                <w:rFonts w:ascii="Cambria" w:hAnsi="Cambria"/>
                <w:bCs/>
                <w:sz w:val="20"/>
                <w:szCs w:val="20"/>
              </w:rPr>
              <w:t>, XI</w:t>
            </w:r>
            <w:r w:rsidR="005C7462">
              <w:rPr>
                <w:rFonts w:ascii="Cambria" w:hAnsi="Cambria"/>
                <w:bCs/>
                <w:sz w:val="20"/>
                <w:szCs w:val="20"/>
              </w:rPr>
              <w:t xml:space="preserve"> (</w:t>
            </w:r>
            <w:r w:rsidR="00F90BF0" w:rsidRPr="00F90BF0">
              <w:rPr>
                <w:rFonts w:ascii="Cambria" w:hAnsi="Cambria"/>
                <w:bCs/>
                <w:sz w:val="20"/>
                <w:szCs w:val="20"/>
              </w:rPr>
              <w:t>Right to the preservat</w:t>
            </w:r>
            <w:r w:rsidR="00F90BF0">
              <w:rPr>
                <w:rFonts w:ascii="Cambria" w:hAnsi="Cambria"/>
                <w:bCs/>
                <w:sz w:val="20"/>
                <w:szCs w:val="20"/>
              </w:rPr>
              <w:t>ion of health and to well-being</w:t>
            </w:r>
            <w:r w:rsidR="00F90BF0" w:rsidRPr="00F90BF0">
              <w:rPr>
                <w:rFonts w:ascii="Cambria" w:hAnsi="Cambria"/>
                <w:bCs/>
                <w:sz w:val="20"/>
                <w:szCs w:val="20"/>
              </w:rPr>
              <w:t>)</w:t>
            </w:r>
            <w:r>
              <w:rPr>
                <w:rFonts w:ascii="Cambria" w:hAnsi="Cambria"/>
                <w:bCs/>
                <w:sz w:val="20"/>
                <w:szCs w:val="20"/>
              </w:rPr>
              <w:t>, XIV</w:t>
            </w:r>
            <w:r w:rsidR="00F90BF0">
              <w:rPr>
                <w:rFonts w:ascii="Cambria" w:hAnsi="Cambria"/>
                <w:bCs/>
                <w:sz w:val="20"/>
                <w:szCs w:val="20"/>
              </w:rPr>
              <w:t xml:space="preserve"> (</w:t>
            </w:r>
            <w:r w:rsidR="00F90BF0" w:rsidRPr="00F90BF0">
              <w:rPr>
                <w:rFonts w:ascii="Cambria" w:hAnsi="Cambria"/>
                <w:bCs/>
                <w:sz w:val="20"/>
                <w:szCs w:val="20"/>
              </w:rPr>
              <w:t>Right to work and to fair remuneration</w:t>
            </w:r>
            <w:r w:rsidR="00F90BF0">
              <w:rPr>
                <w:rFonts w:ascii="Cambria" w:hAnsi="Cambria"/>
                <w:bCs/>
                <w:sz w:val="20"/>
                <w:szCs w:val="20"/>
              </w:rPr>
              <w:t xml:space="preserve">) </w:t>
            </w:r>
            <w:r>
              <w:rPr>
                <w:rFonts w:ascii="Cambria" w:hAnsi="Cambria"/>
                <w:bCs/>
                <w:sz w:val="20"/>
                <w:szCs w:val="20"/>
              </w:rPr>
              <w:t>, XVIII</w:t>
            </w:r>
            <w:r w:rsidR="00F90BF0">
              <w:rPr>
                <w:rFonts w:ascii="Cambria" w:hAnsi="Cambria"/>
                <w:bCs/>
                <w:sz w:val="20"/>
                <w:szCs w:val="20"/>
              </w:rPr>
              <w:t xml:space="preserve"> (</w:t>
            </w:r>
            <w:r w:rsidR="00F90BF0" w:rsidRPr="00F90BF0">
              <w:rPr>
                <w:rFonts w:ascii="Cambria" w:hAnsi="Cambria"/>
                <w:bCs/>
                <w:sz w:val="20"/>
                <w:szCs w:val="20"/>
              </w:rPr>
              <w:t>Right to a fair trial</w:t>
            </w:r>
            <w:r w:rsidR="00F90BF0">
              <w:rPr>
                <w:rFonts w:ascii="Cambria" w:hAnsi="Cambria"/>
                <w:bCs/>
                <w:sz w:val="20"/>
                <w:szCs w:val="20"/>
              </w:rPr>
              <w:t>)</w:t>
            </w:r>
            <w:r>
              <w:rPr>
                <w:rFonts w:ascii="Cambria" w:hAnsi="Cambria"/>
                <w:bCs/>
                <w:sz w:val="20"/>
                <w:szCs w:val="20"/>
              </w:rPr>
              <w:t xml:space="preserve">, and  XXIV </w:t>
            </w:r>
            <w:r w:rsidR="00F90BF0">
              <w:rPr>
                <w:rFonts w:ascii="Cambria" w:hAnsi="Cambria"/>
                <w:bCs/>
                <w:sz w:val="20"/>
                <w:szCs w:val="20"/>
              </w:rPr>
              <w:t>(</w:t>
            </w:r>
            <w:r w:rsidR="00F90BF0" w:rsidRPr="00F90BF0">
              <w:rPr>
                <w:rFonts w:ascii="Cambria" w:hAnsi="Cambria"/>
                <w:bCs/>
                <w:sz w:val="20"/>
                <w:szCs w:val="20"/>
              </w:rPr>
              <w:t>Right of petition</w:t>
            </w:r>
            <w:r w:rsidR="00F90BF0">
              <w:rPr>
                <w:rFonts w:ascii="Cambria" w:hAnsi="Cambria"/>
                <w:bCs/>
                <w:sz w:val="20"/>
                <w:szCs w:val="20"/>
              </w:rPr>
              <w:t xml:space="preserve">) </w:t>
            </w:r>
            <w:r w:rsidRPr="00123A6A">
              <w:rPr>
                <w:rFonts w:ascii="Cambria" w:hAnsi="Cambria"/>
                <w:bCs/>
                <w:sz w:val="20"/>
                <w:szCs w:val="20"/>
              </w:rPr>
              <w:t xml:space="preserve"> of the American Declaration on the Rights and Duties of Man</w:t>
            </w:r>
            <w:r w:rsidR="00F90BF0">
              <w:rPr>
                <w:rStyle w:val="FootnoteReference"/>
                <w:rFonts w:ascii="Cambria" w:hAnsi="Cambria"/>
                <w:bCs/>
                <w:sz w:val="20"/>
                <w:szCs w:val="20"/>
              </w:rPr>
              <w:footnoteReference w:id="4"/>
            </w:r>
          </w:p>
        </w:tc>
      </w:tr>
    </w:tbl>
    <w:p w14:paraId="6508F11F"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D56FCEF" w14:textId="77777777" w:rsidTr="00B06BB7">
        <w:tc>
          <w:tcPr>
            <w:tcW w:w="3690" w:type="dxa"/>
            <w:tcBorders>
              <w:top w:val="single" w:sz="6" w:space="0" w:color="auto"/>
              <w:bottom w:val="single" w:sz="6" w:space="0" w:color="auto"/>
            </w:tcBorders>
            <w:shd w:val="clear" w:color="auto" w:fill="67AE3C"/>
            <w:vAlign w:val="center"/>
          </w:tcPr>
          <w:p w14:paraId="23171492"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477CE481" w14:textId="77777777" w:rsidR="00F621C3" w:rsidRPr="000B6B7A" w:rsidRDefault="002F397B" w:rsidP="009163FC">
            <w:pPr>
              <w:jc w:val="both"/>
              <w:rPr>
                <w:rFonts w:ascii="Cambria" w:hAnsi="Cambria"/>
                <w:bCs/>
                <w:sz w:val="20"/>
                <w:szCs w:val="20"/>
              </w:rPr>
            </w:pPr>
            <w:r w:rsidRPr="002F397B">
              <w:rPr>
                <w:rFonts w:ascii="Cambria" w:hAnsi="Cambria"/>
                <w:bCs/>
                <w:sz w:val="20"/>
                <w:szCs w:val="20"/>
              </w:rPr>
              <w:t>Sept 23, 2013</w:t>
            </w:r>
          </w:p>
        </w:tc>
      </w:tr>
      <w:tr w:rsidR="00F621C3" w:rsidRPr="000B6B7A" w14:paraId="0F64C982" w14:textId="77777777" w:rsidTr="00B06BB7">
        <w:tc>
          <w:tcPr>
            <w:tcW w:w="3690" w:type="dxa"/>
            <w:tcBorders>
              <w:top w:val="single" w:sz="6" w:space="0" w:color="auto"/>
              <w:bottom w:val="single" w:sz="6" w:space="0" w:color="auto"/>
            </w:tcBorders>
            <w:shd w:val="clear" w:color="auto" w:fill="67AE3C"/>
            <w:vAlign w:val="center"/>
          </w:tcPr>
          <w:p w14:paraId="2D322F06"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7942B69E" w14:textId="77777777" w:rsidR="00F621C3" w:rsidRPr="000B6B7A" w:rsidRDefault="002F397B" w:rsidP="009163FC">
            <w:pPr>
              <w:jc w:val="both"/>
              <w:rPr>
                <w:rFonts w:ascii="Cambria" w:hAnsi="Cambria"/>
                <w:bCs/>
                <w:sz w:val="20"/>
                <w:szCs w:val="20"/>
              </w:rPr>
            </w:pPr>
            <w:r>
              <w:rPr>
                <w:rFonts w:ascii="Cambria" w:hAnsi="Cambria"/>
                <w:bCs/>
                <w:sz w:val="20"/>
                <w:szCs w:val="20"/>
              </w:rPr>
              <w:t>August 18, 2017</w:t>
            </w:r>
          </w:p>
        </w:tc>
      </w:tr>
      <w:tr w:rsidR="00F621C3" w:rsidRPr="000B6B7A" w14:paraId="7C1129D1" w14:textId="77777777" w:rsidTr="00B06BB7">
        <w:tc>
          <w:tcPr>
            <w:tcW w:w="3690" w:type="dxa"/>
            <w:tcBorders>
              <w:top w:val="single" w:sz="6" w:space="0" w:color="auto"/>
              <w:bottom w:val="single" w:sz="6" w:space="0" w:color="auto"/>
            </w:tcBorders>
            <w:shd w:val="clear" w:color="auto" w:fill="67AE3C"/>
            <w:vAlign w:val="center"/>
          </w:tcPr>
          <w:p w14:paraId="28932851"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307E65B9" w14:textId="77777777" w:rsidR="00F621C3" w:rsidRPr="000B6B7A" w:rsidRDefault="002F397B" w:rsidP="009163FC">
            <w:pPr>
              <w:jc w:val="both"/>
              <w:rPr>
                <w:rFonts w:ascii="Cambria" w:hAnsi="Cambria"/>
                <w:bCs/>
                <w:sz w:val="20"/>
                <w:szCs w:val="20"/>
              </w:rPr>
            </w:pPr>
            <w:r>
              <w:rPr>
                <w:rFonts w:ascii="Cambria" w:hAnsi="Cambria"/>
                <w:bCs/>
                <w:sz w:val="20"/>
                <w:szCs w:val="20"/>
              </w:rPr>
              <w:t>December 10, 2018</w:t>
            </w:r>
          </w:p>
        </w:tc>
      </w:tr>
      <w:tr w:rsidR="00F621C3" w:rsidRPr="000B6B7A" w14:paraId="633B48DD" w14:textId="77777777" w:rsidTr="00B06BB7">
        <w:trPr>
          <w:trHeight w:val="264"/>
        </w:trPr>
        <w:tc>
          <w:tcPr>
            <w:tcW w:w="3690" w:type="dxa"/>
            <w:tcBorders>
              <w:top w:val="single" w:sz="6" w:space="0" w:color="auto"/>
              <w:bottom w:val="single" w:sz="6" w:space="0" w:color="auto"/>
            </w:tcBorders>
            <w:shd w:val="clear" w:color="auto" w:fill="67AE3C"/>
            <w:vAlign w:val="center"/>
          </w:tcPr>
          <w:p w14:paraId="397E3F4C"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3B4F1090" w14:textId="77777777" w:rsidR="00F621C3" w:rsidRPr="000B6B7A" w:rsidRDefault="002F397B" w:rsidP="009163FC">
            <w:pPr>
              <w:jc w:val="both"/>
              <w:rPr>
                <w:rFonts w:ascii="Cambria" w:hAnsi="Cambria"/>
                <w:bCs/>
                <w:sz w:val="20"/>
                <w:szCs w:val="20"/>
              </w:rPr>
            </w:pPr>
            <w:r>
              <w:rPr>
                <w:rFonts w:ascii="Cambria" w:hAnsi="Cambria"/>
                <w:bCs/>
                <w:sz w:val="20"/>
                <w:szCs w:val="20"/>
              </w:rPr>
              <w:t>April 11, 2019</w:t>
            </w:r>
          </w:p>
        </w:tc>
      </w:tr>
      <w:tr w:rsidR="003771A3" w:rsidRPr="000B6B7A" w14:paraId="74A9B75B" w14:textId="77777777" w:rsidTr="00B06BB7">
        <w:tc>
          <w:tcPr>
            <w:tcW w:w="3690" w:type="dxa"/>
            <w:tcBorders>
              <w:top w:val="single" w:sz="6" w:space="0" w:color="auto"/>
              <w:bottom w:val="single" w:sz="6" w:space="0" w:color="auto"/>
            </w:tcBorders>
            <w:shd w:val="clear" w:color="auto" w:fill="67AE3C"/>
            <w:vAlign w:val="center"/>
          </w:tcPr>
          <w:p w14:paraId="74673D58" w14:textId="77777777"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37A94ADC" w14:textId="77777777" w:rsidR="003771A3" w:rsidRPr="000B6B7A" w:rsidRDefault="002F397B" w:rsidP="009163FC">
            <w:pPr>
              <w:jc w:val="both"/>
              <w:rPr>
                <w:rFonts w:ascii="Cambria" w:hAnsi="Cambria"/>
                <w:bCs/>
                <w:sz w:val="20"/>
                <w:szCs w:val="20"/>
              </w:rPr>
            </w:pPr>
            <w:r>
              <w:rPr>
                <w:rFonts w:ascii="Cambria" w:hAnsi="Cambria"/>
                <w:bCs/>
                <w:sz w:val="20"/>
                <w:szCs w:val="20"/>
              </w:rPr>
              <w:t>May 24 2017</w:t>
            </w:r>
          </w:p>
        </w:tc>
      </w:tr>
      <w:tr w:rsidR="003771A3" w:rsidRPr="000B6B7A" w14:paraId="1DFBDFE3" w14:textId="77777777" w:rsidTr="00B06BB7">
        <w:tc>
          <w:tcPr>
            <w:tcW w:w="3690" w:type="dxa"/>
            <w:tcBorders>
              <w:top w:val="single" w:sz="6" w:space="0" w:color="auto"/>
              <w:bottom w:val="single" w:sz="6" w:space="0" w:color="auto"/>
            </w:tcBorders>
            <w:shd w:val="clear" w:color="auto" w:fill="67AE3C"/>
            <w:vAlign w:val="center"/>
          </w:tcPr>
          <w:p w14:paraId="2DEC0B4E" w14:textId="77777777"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537A82E1" w14:textId="77777777" w:rsidR="003771A3" w:rsidRPr="000B6B7A" w:rsidRDefault="002F397B" w:rsidP="009163FC">
            <w:pPr>
              <w:jc w:val="both"/>
              <w:rPr>
                <w:rFonts w:ascii="Cambria" w:hAnsi="Cambria"/>
                <w:bCs/>
                <w:sz w:val="20"/>
                <w:szCs w:val="20"/>
              </w:rPr>
            </w:pPr>
            <w:r>
              <w:rPr>
                <w:rFonts w:ascii="Cambria" w:hAnsi="Cambria"/>
                <w:bCs/>
                <w:sz w:val="20"/>
                <w:szCs w:val="20"/>
              </w:rPr>
              <w:t>May 24, 2017</w:t>
            </w:r>
          </w:p>
        </w:tc>
      </w:tr>
    </w:tbl>
    <w:p w14:paraId="62C8BB63"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0A920B87" w14:textId="77777777" w:rsidTr="001F1902">
        <w:trPr>
          <w:cantSplit/>
        </w:trPr>
        <w:tc>
          <w:tcPr>
            <w:tcW w:w="3690" w:type="dxa"/>
            <w:tcBorders>
              <w:top w:val="single" w:sz="4" w:space="0" w:color="auto"/>
              <w:bottom w:val="single" w:sz="6" w:space="0" w:color="auto"/>
            </w:tcBorders>
            <w:shd w:val="clear" w:color="auto" w:fill="67AE3C"/>
            <w:vAlign w:val="center"/>
          </w:tcPr>
          <w:p w14:paraId="49C9C072"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BE8BC70" w14:textId="77777777" w:rsidR="00F621C3" w:rsidRPr="000B6B7A" w:rsidRDefault="00F90BF0" w:rsidP="009163FC">
            <w:pPr>
              <w:rPr>
                <w:rFonts w:asciiTheme="majorHAnsi" w:hAnsiTheme="majorHAnsi"/>
                <w:bCs/>
                <w:sz w:val="20"/>
                <w:szCs w:val="20"/>
              </w:rPr>
            </w:pPr>
            <w:r>
              <w:rPr>
                <w:rFonts w:asciiTheme="majorHAnsi" w:hAnsiTheme="majorHAnsi"/>
                <w:bCs/>
                <w:sz w:val="20"/>
                <w:szCs w:val="20"/>
              </w:rPr>
              <w:t>Yes</w:t>
            </w:r>
          </w:p>
        </w:tc>
      </w:tr>
      <w:tr w:rsidR="00F621C3" w:rsidRPr="000B6B7A" w14:paraId="77029AB4" w14:textId="77777777" w:rsidTr="001F1902">
        <w:trPr>
          <w:cantSplit/>
        </w:trPr>
        <w:tc>
          <w:tcPr>
            <w:tcW w:w="3690" w:type="dxa"/>
            <w:tcBorders>
              <w:top w:val="single" w:sz="6" w:space="0" w:color="auto"/>
              <w:bottom w:val="single" w:sz="6" w:space="0" w:color="auto"/>
            </w:tcBorders>
            <w:shd w:val="clear" w:color="auto" w:fill="67AE3C"/>
            <w:vAlign w:val="center"/>
          </w:tcPr>
          <w:p w14:paraId="1FD0F0AB"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2DAD938F" w14:textId="77777777" w:rsidR="00F621C3" w:rsidRPr="000B6B7A" w:rsidRDefault="00F90BF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6683EF2" w14:textId="77777777" w:rsidTr="001F1902">
        <w:trPr>
          <w:cantSplit/>
        </w:trPr>
        <w:tc>
          <w:tcPr>
            <w:tcW w:w="3690" w:type="dxa"/>
            <w:tcBorders>
              <w:top w:val="single" w:sz="6" w:space="0" w:color="auto"/>
              <w:bottom w:val="single" w:sz="6" w:space="0" w:color="auto"/>
            </w:tcBorders>
            <w:shd w:val="clear" w:color="auto" w:fill="67AE3C"/>
            <w:vAlign w:val="center"/>
          </w:tcPr>
          <w:p w14:paraId="39F5EFB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2AFA10EE" w14:textId="77777777" w:rsidR="00F621C3" w:rsidRPr="000B6B7A" w:rsidRDefault="00F90BF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958101B" w14:textId="77777777" w:rsidTr="001F1902">
        <w:trPr>
          <w:cantSplit/>
        </w:trPr>
        <w:tc>
          <w:tcPr>
            <w:tcW w:w="3690" w:type="dxa"/>
            <w:tcBorders>
              <w:top w:val="single" w:sz="6" w:space="0" w:color="auto"/>
              <w:bottom w:val="single" w:sz="6" w:space="0" w:color="auto"/>
            </w:tcBorders>
            <w:shd w:val="clear" w:color="auto" w:fill="67AE3C"/>
            <w:vAlign w:val="center"/>
          </w:tcPr>
          <w:p w14:paraId="7843A480"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560AB37E" w14:textId="77777777" w:rsidR="00097F30" w:rsidRPr="00F90BF0" w:rsidRDefault="00097F30" w:rsidP="00097F30">
            <w:pPr>
              <w:jc w:val="both"/>
              <w:rPr>
                <w:rFonts w:asciiTheme="majorHAnsi" w:hAnsiTheme="majorHAnsi"/>
                <w:bCs/>
                <w:sz w:val="20"/>
                <w:szCs w:val="20"/>
              </w:rPr>
            </w:pPr>
            <w:r w:rsidRPr="00F90BF0">
              <w:rPr>
                <w:rFonts w:asciiTheme="majorHAnsi" w:hAnsiTheme="majorHAnsi"/>
                <w:bCs/>
                <w:sz w:val="20"/>
                <w:szCs w:val="20"/>
              </w:rPr>
              <w:t xml:space="preserve">Yes, American Declaration (ratification of the OAS Charter on June 19, 1951) </w:t>
            </w:r>
          </w:p>
          <w:p w14:paraId="7394BF50" w14:textId="77777777" w:rsidR="00F90BF0" w:rsidRPr="000B6B7A" w:rsidRDefault="00F90BF0" w:rsidP="009163FC">
            <w:pPr>
              <w:jc w:val="both"/>
              <w:rPr>
                <w:rFonts w:asciiTheme="majorHAnsi" w:hAnsiTheme="majorHAnsi"/>
                <w:bCs/>
                <w:sz w:val="20"/>
                <w:szCs w:val="20"/>
              </w:rPr>
            </w:pPr>
          </w:p>
          <w:p w14:paraId="2C7C5866" w14:textId="77777777" w:rsidR="00F621C3" w:rsidRPr="000B6B7A" w:rsidRDefault="00F621C3" w:rsidP="009163FC">
            <w:pPr>
              <w:jc w:val="both"/>
              <w:rPr>
                <w:rFonts w:asciiTheme="majorHAnsi" w:hAnsiTheme="majorHAnsi"/>
                <w:bCs/>
                <w:sz w:val="20"/>
                <w:szCs w:val="20"/>
              </w:rPr>
            </w:pPr>
          </w:p>
        </w:tc>
      </w:tr>
    </w:tbl>
    <w:p w14:paraId="026EA77E" w14:textId="235855BC"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70BB5885" w14:textId="77777777" w:rsidTr="001F1902">
        <w:trPr>
          <w:cantSplit/>
        </w:trPr>
        <w:tc>
          <w:tcPr>
            <w:tcW w:w="3690" w:type="dxa"/>
            <w:tcBorders>
              <w:top w:val="single" w:sz="4" w:space="0" w:color="auto"/>
              <w:bottom w:val="single" w:sz="6" w:space="0" w:color="auto"/>
            </w:tcBorders>
            <w:shd w:val="clear" w:color="auto" w:fill="67AE3C"/>
            <w:vAlign w:val="center"/>
          </w:tcPr>
          <w:p w14:paraId="6A1C2B6B"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55BA8CE0" w14:textId="77777777" w:rsidR="00F621C3" w:rsidRPr="000B6B7A" w:rsidRDefault="00097F30" w:rsidP="009163FC">
            <w:pPr>
              <w:jc w:val="both"/>
              <w:rPr>
                <w:rFonts w:ascii="Cambria" w:hAnsi="Cambria"/>
                <w:bCs/>
                <w:sz w:val="20"/>
                <w:szCs w:val="20"/>
              </w:rPr>
            </w:pPr>
            <w:r>
              <w:rPr>
                <w:rFonts w:ascii="Cambria" w:hAnsi="Cambria"/>
                <w:bCs/>
                <w:sz w:val="20"/>
                <w:szCs w:val="20"/>
              </w:rPr>
              <w:t>No</w:t>
            </w:r>
          </w:p>
        </w:tc>
      </w:tr>
      <w:tr w:rsidR="00F621C3" w:rsidRPr="000B6B7A" w14:paraId="19ACD663" w14:textId="77777777" w:rsidTr="001F1902">
        <w:trPr>
          <w:cantSplit/>
        </w:trPr>
        <w:tc>
          <w:tcPr>
            <w:tcW w:w="3690" w:type="dxa"/>
            <w:tcBorders>
              <w:top w:val="single" w:sz="6" w:space="0" w:color="auto"/>
              <w:bottom w:val="single" w:sz="6" w:space="0" w:color="auto"/>
            </w:tcBorders>
            <w:shd w:val="clear" w:color="auto" w:fill="67AE3C"/>
            <w:vAlign w:val="center"/>
          </w:tcPr>
          <w:p w14:paraId="5E3FDCC7"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53059EE0" w14:textId="3CF5C1E2" w:rsidR="00F621C3" w:rsidRPr="000B6B7A" w:rsidRDefault="002F397B" w:rsidP="009163FC">
            <w:pPr>
              <w:jc w:val="both"/>
              <w:rPr>
                <w:rFonts w:ascii="Cambria" w:hAnsi="Cambria"/>
                <w:bCs/>
                <w:sz w:val="20"/>
                <w:szCs w:val="20"/>
              </w:rPr>
            </w:pPr>
            <w:r w:rsidRPr="002F397B">
              <w:rPr>
                <w:rFonts w:ascii="Cambria" w:hAnsi="Cambria"/>
                <w:bCs/>
                <w:sz w:val="20"/>
                <w:szCs w:val="20"/>
              </w:rPr>
              <w:t>Articles I</w:t>
            </w:r>
            <w:r w:rsidR="007E00CA">
              <w:rPr>
                <w:rFonts w:ascii="Cambria" w:hAnsi="Cambria"/>
                <w:bCs/>
                <w:sz w:val="20"/>
                <w:szCs w:val="20"/>
              </w:rPr>
              <w:t xml:space="preserve"> </w:t>
            </w:r>
            <w:r w:rsidR="00A621B7" w:rsidRPr="00A621B7">
              <w:rPr>
                <w:rFonts w:ascii="Cambria" w:hAnsi="Cambria"/>
                <w:bCs/>
                <w:sz w:val="20"/>
                <w:szCs w:val="20"/>
              </w:rPr>
              <w:t xml:space="preserve">(Right to life, liberty and personal security), </w:t>
            </w:r>
            <w:r w:rsidR="00A66A6C" w:rsidRPr="008D14AA">
              <w:rPr>
                <w:rFonts w:ascii="Cambria" w:hAnsi="Cambria"/>
                <w:bCs/>
                <w:sz w:val="20"/>
                <w:szCs w:val="20"/>
              </w:rPr>
              <w:t>IV (Right to freedom of investigation, opinion, expression and dissemination)</w:t>
            </w:r>
            <w:r w:rsidRPr="008D14AA">
              <w:rPr>
                <w:rFonts w:ascii="Cambria" w:hAnsi="Cambria"/>
                <w:bCs/>
                <w:sz w:val="20"/>
                <w:szCs w:val="20"/>
              </w:rPr>
              <w:t xml:space="preserve"> VI</w:t>
            </w:r>
            <w:r w:rsidR="007E00CA" w:rsidRPr="008D14AA">
              <w:rPr>
                <w:rFonts w:ascii="Cambria" w:hAnsi="Cambria"/>
                <w:bCs/>
                <w:sz w:val="20"/>
                <w:szCs w:val="20"/>
              </w:rPr>
              <w:t xml:space="preserve"> (Right to a family and to protection thereof)</w:t>
            </w:r>
            <w:r w:rsidRPr="008D14AA">
              <w:rPr>
                <w:rFonts w:ascii="Cambria" w:hAnsi="Cambria"/>
                <w:bCs/>
                <w:sz w:val="20"/>
                <w:szCs w:val="20"/>
              </w:rPr>
              <w:t>, VII</w:t>
            </w:r>
            <w:r w:rsidR="007E00CA" w:rsidRPr="008D14AA">
              <w:rPr>
                <w:rFonts w:ascii="Cambria" w:hAnsi="Cambria"/>
                <w:bCs/>
                <w:sz w:val="20"/>
                <w:szCs w:val="20"/>
              </w:rPr>
              <w:t xml:space="preserve"> (Right to protection for moth</w:t>
            </w:r>
            <w:r w:rsidR="007E00CA" w:rsidRPr="007E00CA">
              <w:rPr>
                <w:rFonts w:ascii="Cambria" w:hAnsi="Cambria"/>
                <w:bCs/>
                <w:sz w:val="20"/>
                <w:szCs w:val="20"/>
              </w:rPr>
              <w:t>ers and children),</w:t>
            </w:r>
            <w:r w:rsidRPr="002F397B">
              <w:rPr>
                <w:rFonts w:ascii="Cambria" w:hAnsi="Cambria"/>
                <w:bCs/>
                <w:sz w:val="20"/>
                <w:szCs w:val="20"/>
              </w:rPr>
              <w:t xml:space="preserve"> XI</w:t>
            </w:r>
            <w:r w:rsidR="007E00CA">
              <w:rPr>
                <w:rFonts w:ascii="Cambria" w:hAnsi="Cambria"/>
                <w:bCs/>
                <w:sz w:val="20"/>
                <w:szCs w:val="20"/>
              </w:rPr>
              <w:t xml:space="preserve"> </w:t>
            </w:r>
            <w:r w:rsidR="007E00CA" w:rsidRPr="007E00CA">
              <w:rPr>
                <w:rFonts w:ascii="Cambria" w:hAnsi="Cambria"/>
                <w:bCs/>
                <w:sz w:val="20"/>
                <w:szCs w:val="20"/>
              </w:rPr>
              <w:t>(Right to the preservation of health and to well-being)</w:t>
            </w:r>
            <w:r w:rsidRPr="002F397B">
              <w:rPr>
                <w:rFonts w:ascii="Cambria" w:hAnsi="Cambria"/>
                <w:bCs/>
                <w:sz w:val="20"/>
                <w:szCs w:val="20"/>
              </w:rPr>
              <w:t>, XIV</w:t>
            </w:r>
            <w:r w:rsidR="007E00CA">
              <w:rPr>
                <w:rFonts w:ascii="Cambria" w:hAnsi="Cambria"/>
                <w:bCs/>
                <w:sz w:val="20"/>
                <w:szCs w:val="20"/>
              </w:rPr>
              <w:t xml:space="preserve"> </w:t>
            </w:r>
            <w:r w:rsidR="007E00CA" w:rsidRPr="007E00CA">
              <w:rPr>
                <w:rFonts w:ascii="Cambria" w:hAnsi="Cambria"/>
                <w:bCs/>
                <w:sz w:val="20"/>
                <w:szCs w:val="20"/>
              </w:rPr>
              <w:t>(Right to work and to fair remuneration</w:t>
            </w:r>
            <w:r w:rsidR="007E00CA">
              <w:rPr>
                <w:rFonts w:ascii="Cambria" w:hAnsi="Cambria"/>
                <w:bCs/>
                <w:sz w:val="20"/>
                <w:szCs w:val="20"/>
              </w:rPr>
              <w:t>)</w:t>
            </w:r>
            <w:r w:rsidRPr="002F397B">
              <w:rPr>
                <w:rFonts w:ascii="Cambria" w:hAnsi="Cambria"/>
                <w:bCs/>
                <w:sz w:val="20"/>
                <w:szCs w:val="20"/>
              </w:rPr>
              <w:t>, XVIII</w:t>
            </w:r>
            <w:r w:rsidR="007E00CA">
              <w:rPr>
                <w:rFonts w:ascii="Cambria" w:hAnsi="Cambria"/>
                <w:bCs/>
                <w:sz w:val="20"/>
                <w:szCs w:val="20"/>
              </w:rPr>
              <w:t xml:space="preserve"> </w:t>
            </w:r>
            <w:r w:rsidR="007E00CA" w:rsidRPr="007E00CA">
              <w:rPr>
                <w:rFonts w:ascii="Cambria" w:hAnsi="Cambria"/>
                <w:bCs/>
                <w:sz w:val="20"/>
                <w:szCs w:val="20"/>
              </w:rPr>
              <w:t>(Right to a fair trial</w:t>
            </w:r>
            <w:r w:rsidR="007E00CA">
              <w:rPr>
                <w:rFonts w:ascii="Cambria" w:hAnsi="Cambria"/>
                <w:bCs/>
                <w:sz w:val="20"/>
                <w:szCs w:val="20"/>
              </w:rPr>
              <w:t>)</w:t>
            </w:r>
            <w:r w:rsidRPr="002F397B">
              <w:rPr>
                <w:rFonts w:ascii="Cambria" w:hAnsi="Cambria"/>
                <w:bCs/>
                <w:sz w:val="20"/>
                <w:szCs w:val="20"/>
              </w:rPr>
              <w:t>, and XXIV</w:t>
            </w:r>
            <w:r w:rsidR="007E00CA">
              <w:rPr>
                <w:rFonts w:ascii="Cambria" w:hAnsi="Cambria"/>
                <w:bCs/>
                <w:sz w:val="20"/>
                <w:szCs w:val="20"/>
              </w:rPr>
              <w:t xml:space="preserve"> </w:t>
            </w:r>
            <w:r w:rsidR="007E00CA" w:rsidRPr="007E00CA">
              <w:rPr>
                <w:rFonts w:ascii="Cambria" w:hAnsi="Cambria"/>
                <w:bCs/>
                <w:sz w:val="20"/>
                <w:szCs w:val="20"/>
              </w:rPr>
              <w:t xml:space="preserve">(Right of petition)  </w:t>
            </w:r>
          </w:p>
        </w:tc>
      </w:tr>
      <w:tr w:rsidR="00F621C3" w:rsidRPr="000B6B7A" w14:paraId="39F2F157" w14:textId="77777777" w:rsidTr="001F1902">
        <w:trPr>
          <w:cantSplit/>
        </w:trPr>
        <w:tc>
          <w:tcPr>
            <w:tcW w:w="3690" w:type="dxa"/>
            <w:tcBorders>
              <w:top w:val="single" w:sz="6" w:space="0" w:color="auto"/>
              <w:bottom w:val="single" w:sz="6" w:space="0" w:color="auto"/>
            </w:tcBorders>
            <w:shd w:val="clear" w:color="auto" w:fill="67AE3C"/>
            <w:vAlign w:val="center"/>
          </w:tcPr>
          <w:p w14:paraId="16A953BB"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78FDF683" w14:textId="77777777" w:rsidR="00F621C3" w:rsidRPr="000B6B7A" w:rsidRDefault="00F621C3" w:rsidP="009163FC">
            <w:pPr>
              <w:rPr>
                <w:rFonts w:ascii="Cambria" w:hAnsi="Cambria"/>
                <w:bCs/>
                <w:sz w:val="20"/>
                <w:szCs w:val="20"/>
              </w:rPr>
            </w:pPr>
          </w:p>
          <w:p w14:paraId="41E6E7AA" w14:textId="77777777" w:rsidR="006F220F" w:rsidRDefault="006F220F" w:rsidP="006F220F">
            <w:pPr>
              <w:pStyle w:val="Default"/>
              <w:rPr>
                <w:sz w:val="19"/>
                <w:szCs w:val="19"/>
              </w:rPr>
            </w:pPr>
            <w:r>
              <w:rPr>
                <w:sz w:val="19"/>
                <w:szCs w:val="19"/>
              </w:rPr>
              <w:t xml:space="preserve">Yes, in terms of section VI </w:t>
            </w:r>
          </w:p>
          <w:p w14:paraId="52524A23" w14:textId="77777777" w:rsidR="00F621C3" w:rsidRPr="000B6B7A" w:rsidRDefault="00F621C3" w:rsidP="009163FC">
            <w:pPr>
              <w:rPr>
                <w:rFonts w:ascii="Cambria" w:hAnsi="Cambria"/>
                <w:bCs/>
                <w:sz w:val="20"/>
                <w:szCs w:val="20"/>
              </w:rPr>
            </w:pPr>
          </w:p>
        </w:tc>
      </w:tr>
      <w:tr w:rsidR="00F621C3" w:rsidRPr="000B6B7A" w14:paraId="6BFA8450" w14:textId="77777777" w:rsidTr="001F1902">
        <w:trPr>
          <w:cantSplit/>
        </w:trPr>
        <w:tc>
          <w:tcPr>
            <w:tcW w:w="3690" w:type="dxa"/>
            <w:tcBorders>
              <w:top w:val="single" w:sz="6" w:space="0" w:color="auto"/>
              <w:bottom w:val="single" w:sz="6" w:space="0" w:color="auto"/>
            </w:tcBorders>
            <w:shd w:val="clear" w:color="auto" w:fill="67AE3C"/>
            <w:vAlign w:val="center"/>
          </w:tcPr>
          <w:p w14:paraId="38215B2A"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72B33BD0" w14:textId="77777777" w:rsidR="006F220F" w:rsidRDefault="006F220F" w:rsidP="006F220F">
            <w:pPr>
              <w:pStyle w:val="Default"/>
              <w:rPr>
                <w:sz w:val="19"/>
                <w:szCs w:val="19"/>
              </w:rPr>
            </w:pPr>
            <w:r>
              <w:rPr>
                <w:sz w:val="19"/>
                <w:szCs w:val="19"/>
              </w:rPr>
              <w:t xml:space="preserve">Yes, in terms of section VI </w:t>
            </w:r>
          </w:p>
          <w:p w14:paraId="610A876E" w14:textId="77777777" w:rsidR="00F621C3" w:rsidRPr="000B6B7A" w:rsidRDefault="00F621C3" w:rsidP="009163FC">
            <w:pPr>
              <w:rPr>
                <w:rFonts w:asciiTheme="majorHAnsi" w:hAnsiTheme="majorHAnsi"/>
                <w:bCs/>
                <w:sz w:val="20"/>
                <w:szCs w:val="20"/>
              </w:rPr>
            </w:pPr>
          </w:p>
        </w:tc>
      </w:tr>
    </w:tbl>
    <w:p w14:paraId="04B2ECD9"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F34F701" w14:textId="77777777" w:rsidR="00F621C3" w:rsidRPr="00814711" w:rsidRDefault="00097F30" w:rsidP="00097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 xml:space="preserve">This petition deals </w:t>
      </w:r>
      <w:r w:rsidR="003379DD">
        <w:rPr>
          <w:rFonts w:ascii="Cambria" w:hAnsi="Cambria"/>
          <w:sz w:val="20"/>
          <w:szCs w:val="20"/>
        </w:rPr>
        <w:t xml:space="preserve">with </w:t>
      </w:r>
      <w:r w:rsidRPr="00097F30">
        <w:rPr>
          <w:rFonts w:ascii="Cambria" w:hAnsi="Cambria"/>
          <w:sz w:val="20"/>
          <w:szCs w:val="20"/>
        </w:rPr>
        <w:t xml:space="preserve">the alleged long term health and environmental consequences on the alleged victims, as a result of military practices (involving toxic chemicals and warfare) of the United States Navy conducted on the island of Vieques, Puerto Rico. </w:t>
      </w:r>
    </w:p>
    <w:p w14:paraId="0DF4C7B8" w14:textId="1EA14B84" w:rsidR="00C84D0A" w:rsidRDefault="00097F30" w:rsidP="00097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 xml:space="preserve">By way of background the petitioners make the following assertions.  Firstly, in 1941, the Navy set up military operations in the municipal islands of Culebra and Vieques, Puerto Rico; and that in 1942-1943 and 1947, the Navy expropriated of 75% of the land on Vieques for the use of military practices, totaling approximately 23,000 acres.  The expropriation of 75% of the island involved the forced evacuation and displacement of hundreds of Viequense families who were forced to relocate to the middle of the island and leave the land they either owned or worked on. </w:t>
      </w:r>
    </w:p>
    <w:p w14:paraId="029E95F8" w14:textId="17DE71B3" w:rsidR="00097F30" w:rsidRPr="00D63E5F" w:rsidRDefault="00097F30" w:rsidP="00D63E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Secondly, using the island as a practice ground for military warfare, the Navy routinely bombed the island—including dropping 500-pound bombs from aircraft—and used known deadly chemicals and toxins such as napalm, Agent Orange, depleted uranium (DU), white phosphorous, arsenic, lead, mercury, cadmium, copper, magnesium, lithium, cobalt, nickel, perchlorate, TNT (Trinitrotoluene), PCBs (Polychlorinated Biphenyls), solvents, pesticides, and high explosives.</w:t>
      </w:r>
      <w:r w:rsidR="00D63E5F">
        <w:rPr>
          <w:rFonts w:ascii="Cambria" w:hAnsi="Cambria"/>
          <w:sz w:val="20"/>
          <w:szCs w:val="20"/>
        </w:rPr>
        <w:t xml:space="preserve"> </w:t>
      </w:r>
      <w:r w:rsidRPr="00D63E5F">
        <w:rPr>
          <w:rFonts w:ascii="Cambria" w:hAnsi="Cambria"/>
          <w:sz w:val="20"/>
          <w:szCs w:val="20"/>
        </w:rPr>
        <w:t>Thirdly, for decades, Viequenses have been exposed to lethal contaminants exuded from munitions that have contaminated their bodies, their land and the neighboring sea, and continue to live with the long lasting effects to their health and environment.  As a result of these harmful practices, generations of Viequenses suffer inflated rates of cancer, hypertension, asthma, birth defects, higher infant mortality rates and low birth weights, respiratory illnesses, kidney failure and skin rashes. Despite the high incidence of illness on Vieques, the island currently has no adequate health services, including general and specialized physicians, equipment, laboratories and diagnostic and treatment facilities on Vieques to adequately diagnose and treat various serious conditions, including cancer.   The overwhelming majority of Viequenses must travel to mainland Puerto Rico whenever they need medical attention, whether it consists of generalized care, follow-up care or treatment for their health conditions.</w:t>
      </w:r>
      <w:r w:rsidR="00D63E5F">
        <w:rPr>
          <w:rFonts w:ascii="Cambria" w:hAnsi="Cambria"/>
          <w:sz w:val="20"/>
          <w:szCs w:val="20"/>
        </w:rPr>
        <w:t xml:space="preserve"> </w:t>
      </w:r>
      <w:r w:rsidRPr="00D63E5F">
        <w:rPr>
          <w:rFonts w:ascii="Cambria" w:hAnsi="Cambria"/>
          <w:sz w:val="20"/>
          <w:szCs w:val="20"/>
        </w:rPr>
        <w:t>Fourthly, the fishing industry in Vieques comprises approximately 40% of the local economy. Fishermen have often complained about the great number of unexploded bombs in the coastal waters of Vieques and the destruction caused to coral reefs and other elements of the marine environment harmed by stray bombs from jets and ships.  The Navy’s activities interfered with the ability of local fishermen to practice their trade, both because the military practices leaked toxins and contaminants into the surrounding waters and because the Navy would routinely block water routes that the fisherman followed daily in order to carry out their warfare practices.</w:t>
      </w:r>
    </w:p>
    <w:p w14:paraId="18EC0072" w14:textId="77777777" w:rsidR="00097F30" w:rsidRDefault="00097F30" w:rsidP="00097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 xml:space="preserve">Fifthly, the Navy has refused to formally acknowledge any wrongdoing or liability on their part or admit a connection between 60 years of bombing and biochemical warfare practices and the resulting health consequences suffered by thousands of Viequenses.  Instead, the federal government has blamed these illnesses on Viequenses’ choice of diet, grooming and hygiene habits. The Navy has never fully admitted to the types of weapons, chemicals, arms, and munitions used in Vieques throughout its decades of military practices, nor the frequency, duration and location such munitions were used.  Without full knowledge of the toxic </w:t>
      </w:r>
      <w:r w:rsidRPr="00097F30">
        <w:rPr>
          <w:rFonts w:ascii="Cambria" w:hAnsi="Cambria"/>
          <w:sz w:val="20"/>
          <w:szCs w:val="20"/>
        </w:rPr>
        <w:lastRenderedPageBreak/>
        <w:t>chemicals and materials used, a full assessment, cleanup, and adequate civilian and governmental oversight are stunted, as well as the ability of civilians to diagnose and treat subsequent illnesses as a result of their exposure to unknown toxins.</w:t>
      </w:r>
    </w:p>
    <w:p w14:paraId="30D9D57B" w14:textId="77777777" w:rsidR="00097F30" w:rsidRDefault="00097F30" w:rsidP="00097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Sixthly, while the Navy officially closed the base for military practices in 2003 to begin the official process of environmental cleanup, the past ten years have shown a tremendous reluctance by the U.S. government to fund a full, adequate and appropriate decontamination effort that would restore the land to the pristine state that predated its military activities and address the continued harm to the health of Viequenses.  In this regard, the Navy has hired a military contractor to carry out the cleanup, who has in turned hired local Viequenses to assist in picking up both exploded and unexploded munitions. The Viequenses are paid a high hourly wage and are required to waive all potential claims of liability against the Navy. Residents assist in picking up munitions without knowing whether they are active, despite the Navy’s claims that using workers to do such work by hand could be unsafe.</w:t>
      </w:r>
    </w:p>
    <w:p w14:paraId="2FDFA5C7" w14:textId="77777777" w:rsidR="00097F30" w:rsidRDefault="00097F30" w:rsidP="00097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F30">
        <w:rPr>
          <w:rFonts w:ascii="Cambria" w:hAnsi="Cambria"/>
          <w:sz w:val="20"/>
          <w:szCs w:val="20"/>
        </w:rPr>
        <w:t>Against this background, the particulars of the 10 alleged victims (and their families - where appropriate) are set out in the following paragraphs.</w:t>
      </w:r>
    </w:p>
    <w:p w14:paraId="31E791D2" w14:textId="77777777" w:rsidR="00097F30"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Zaida Torres was born on June 20, 1954.  Her husband worked as a plumber on the Naval base for 27 years and developed high blood pressure and a prostate cyst.  Her daughter, Liza Torres, was diagnosed with acute lymphocytic leukemia (type of cancer) at the age of 15.  After being hospitalized and treated with radiation and then chemotherapy every three weeks for two years, she died from cancer at the age of 17 years.  In approximately 2005, Zaida’s uncle died of pancreatic cancer, her aunt of breast cancer and her aunt’s son of cerebral cancer.</w:t>
      </w:r>
    </w:p>
    <w:p w14:paraId="1BD1E68E" w14:textId="77777777" w:rsidR="00F23C2D"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 xml:space="preserve">Wanda Bermúdez was born on August 13, 1962 and is fourth generation Viequense. From approximately age 15, she began having pain in her right ear with occasional </w:t>
      </w:r>
      <w:r>
        <w:rPr>
          <w:rFonts w:ascii="Cambria" w:hAnsi="Cambria"/>
          <w:sz w:val="20"/>
          <w:szCs w:val="20"/>
        </w:rPr>
        <w:t>nasal</w:t>
      </w:r>
      <w:r w:rsidRPr="00F23C2D">
        <w:rPr>
          <w:rFonts w:ascii="Cambria" w:hAnsi="Cambria"/>
          <w:sz w:val="20"/>
          <w:szCs w:val="20"/>
        </w:rPr>
        <w:t xml:space="preserve"> bleeding.  She was diagnosed at age 23 with nasopharyngeal cancer with masses in her nasal passage and throat.  She continues to suffer from respiratory illnesses that require periodic hospitalization.  Her cousin who grew up ne</w:t>
      </w:r>
      <w:r>
        <w:rPr>
          <w:rFonts w:ascii="Cambria" w:hAnsi="Cambria"/>
          <w:sz w:val="20"/>
          <w:szCs w:val="20"/>
        </w:rPr>
        <w:t xml:space="preserve">xt to her was diagnosed </w:t>
      </w:r>
      <w:r w:rsidRPr="00F23C2D">
        <w:rPr>
          <w:rFonts w:ascii="Cambria" w:hAnsi="Cambria"/>
          <w:sz w:val="20"/>
          <w:szCs w:val="20"/>
        </w:rPr>
        <w:t>with a rare form of cancer of the nervous system and subsequently died three years later.</w:t>
      </w:r>
    </w:p>
    <w:p w14:paraId="5E869114" w14:textId="77777777" w:rsidR="00F23C2D"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Ivis Cintrón Díaz was born on November 27, 1964.  She has three daughters, two of whom suffered from chronic asthma since they were newborns.  They continue to be asthmatic.  Her youngest daughter, age 27, is legally blind in her left eye as a result of a rare ophthalmological disease.  Ivis has recently been diagnosed with an abnormal pap smear that has been determined to be pre-cancerous.</w:t>
      </w:r>
    </w:p>
    <w:p w14:paraId="6B788EA5" w14:textId="77777777" w:rsidR="00F23C2D"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Ida Vodofsky Colón was born on June 11, 1962.  She was raised in Vieques and still has memories of having her house shake from the impact of nearby bombing.  She was diagnosed with cancer at 25 years old when she was eight months pregnant with her fourth child.  In 2005, she was diagnosed with heavy chemicals in her lungs.</w:t>
      </w:r>
    </w:p>
    <w:p w14:paraId="0B053CBE" w14:textId="77777777" w:rsidR="00F23C2D"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 xml:space="preserve">Norma Torres Sanes was born on March 1, 1947.  Her family’s land was expropriated by the Navy and they were forced to move to Luquillo, Puerto Rico on the mainland </w:t>
      </w:r>
      <w:r>
        <w:rPr>
          <w:rFonts w:ascii="Cambria" w:hAnsi="Cambria"/>
          <w:sz w:val="20"/>
          <w:szCs w:val="20"/>
        </w:rPr>
        <w:t>island</w:t>
      </w:r>
      <w:r w:rsidRPr="00F23C2D">
        <w:rPr>
          <w:rFonts w:ascii="Cambria" w:hAnsi="Cambria"/>
          <w:sz w:val="20"/>
          <w:szCs w:val="20"/>
        </w:rPr>
        <w:t xml:space="preserve">.  In 2003 she was diagnosed with breast cancer and underwent chemotherapy </w:t>
      </w:r>
      <w:r>
        <w:rPr>
          <w:rFonts w:ascii="Cambria" w:hAnsi="Cambria"/>
          <w:sz w:val="20"/>
          <w:szCs w:val="20"/>
        </w:rPr>
        <w:t>and</w:t>
      </w:r>
      <w:r w:rsidRPr="00F23C2D">
        <w:rPr>
          <w:rFonts w:ascii="Cambria" w:hAnsi="Cambria"/>
          <w:sz w:val="20"/>
          <w:szCs w:val="20"/>
        </w:rPr>
        <w:t xml:space="preserve"> radiation.</w:t>
      </w:r>
    </w:p>
    <w:p w14:paraId="62F7EE9B" w14:textId="77777777" w:rsidR="00F23C2D" w:rsidRDefault="00F23C2D" w:rsidP="00F23C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C2D">
        <w:rPr>
          <w:rFonts w:ascii="Cambria" w:hAnsi="Cambria"/>
          <w:sz w:val="20"/>
          <w:szCs w:val="20"/>
        </w:rPr>
        <w:t>Cacimar Zenón was born on September 1, 1979.  He is a scuba-diver and fisherman, as was his father.  He has seen the reduction in sea life in the surrounding waters of Vieques which he attributes to the military’s practices</w:t>
      </w:r>
      <w:r>
        <w:rPr>
          <w:rFonts w:ascii="Cambria" w:hAnsi="Cambria"/>
          <w:sz w:val="20"/>
          <w:szCs w:val="20"/>
        </w:rPr>
        <w:t xml:space="preserve">.   His father, other fishermen </w:t>
      </w:r>
      <w:r w:rsidRPr="00F23C2D">
        <w:rPr>
          <w:rFonts w:ascii="Cambria" w:hAnsi="Cambria"/>
          <w:sz w:val="20"/>
          <w:szCs w:val="20"/>
        </w:rPr>
        <w:t>and he have had their livelihoods affected by the Navy’s practices which have often included closing off safer and closer water zones where fishermen routinely fish in order to carry out military practices, or more recently to clean up environmental damage as a result of such practices.</w:t>
      </w:r>
    </w:p>
    <w:p w14:paraId="5C89A93E" w14:textId="77777777" w:rsidR="00F23C2D"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t>Asunción Rivera was born on August 11, 1955.  She was born and raised in Vieques and was diagnosed with breast cancer in 2005.  Her father suffered and died from lung cancer and her sister was diagnosed with gastrointestinal cancer and also subsequently died.  Her daughter, age 33, was diagnosed with colon cancer in 2012.</w:t>
      </w:r>
    </w:p>
    <w:p w14:paraId="282E8FCF" w14:textId="77777777" w:rsidR="00816E44"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lastRenderedPageBreak/>
        <w:t>Ismael Guadalupe was born on July 23, 1944.  He was born and raised in Vieques.  He has participated actively in civil disobedience and</w:t>
      </w:r>
      <w:r>
        <w:rPr>
          <w:rFonts w:ascii="Cambria" w:hAnsi="Cambria"/>
          <w:sz w:val="20"/>
          <w:szCs w:val="20"/>
        </w:rPr>
        <w:t xml:space="preserve"> protest activities against the </w:t>
      </w:r>
      <w:r w:rsidRPr="00816E44">
        <w:rPr>
          <w:rFonts w:ascii="Cambria" w:hAnsi="Cambria"/>
          <w:sz w:val="20"/>
          <w:szCs w:val="20"/>
        </w:rPr>
        <w:t>Navy’s presence for forty years.  In 2000, he was di</w:t>
      </w:r>
      <w:r>
        <w:rPr>
          <w:rFonts w:ascii="Cambria" w:hAnsi="Cambria"/>
          <w:sz w:val="20"/>
          <w:szCs w:val="20"/>
        </w:rPr>
        <w:t xml:space="preserve">agnosed with kidney failure and </w:t>
      </w:r>
      <w:r w:rsidRPr="00816E44">
        <w:rPr>
          <w:rFonts w:ascii="Cambria" w:hAnsi="Cambria"/>
          <w:sz w:val="20"/>
          <w:szCs w:val="20"/>
        </w:rPr>
        <w:t>in 2005, approximately, was found to have high concentrations of mercury in his system.  He also suffers from hypertension and diabetes.</w:t>
      </w:r>
    </w:p>
    <w:p w14:paraId="1D4FBB56" w14:textId="77777777" w:rsidR="00816E44"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t>Ilsa Ortiz Ortiz was born on June 8, 1958.  She was born and raised in Vieques. Isla has two children who are now adults, both of whom continue to suffer from chronic asthma that has plagued them since they were newborns, as well as from skin conditions including frequent rashes.</w:t>
      </w:r>
    </w:p>
    <w:p w14:paraId="16D2A27E" w14:textId="77777777" w:rsidR="00816E44"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t>Nilo Adams Colón was born on November 13, 1947. He was born and raised in Vieques. In 2010, he was diagnosed with abdominal lymphoma cancer.  He received chemotherapy and radiation after largely covering his own health expenses and continues to take daily medication. He will need to be treated for a total of 5 years.  He also suffers from diabetes.</w:t>
      </w:r>
    </w:p>
    <w:p w14:paraId="29B083DB" w14:textId="77777777" w:rsidR="00816E44"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t>Relying on various studies</w:t>
      </w:r>
      <w:r>
        <w:rPr>
          <w:rStyle w:val="FootnoteReference"/>
          <w:rFonts w:ascii="Cambria" w:hAnsi="Cambria"/>
          <w:sz w:val="20"/>
          <w:szCs w:val="20"/>
        </w:rPr>
        <w:footnoteReference w:id="6"/>
      </w:r>
      <w:r w:rsidRPr="00816E44">
        <w:rPr>
          <w:rFonts w:ascii="Cambria" w:hAnsi="Cambria"/>
          <w:sz w:val="20"/>
          <w:szCs w:val="20"/>
        </w:rPr>
        <w:t>, the petitioners provide quantitative data on the risks to health faced by residents of Vieques.  In this regard, the petitioners assert that a)</w:t>
      </w:r>
      <w:r w:rsidR="00021849">
        <w:rPr>
          <w:rFonts w:ascii="Cambria" w:hAnsi="Cambria"/>
          <w:sz w:val="20"/>
          <w:szCs w:val="20"/>
        </w:rPr>
        <w:t xml:space="preserve"> </w:t>
      </w:r>
      <w:r w:rsidRPr="00816E44">
        <w:rPr>
          <w:rFonts w:ascii="Cambria" w:hAnsi="Cambria"/>
          <w:sz w:val="20"/>
          <w:szCs w:val="20"/>
        </w:rPr>
        <w:t>the cancer rate in Vieques is almost 30% higher than the mainland of Puerto Rico; (b) a study published by the Puerto Rico Health Department in 2000 analyzing the incidence of  cancer from 1960 – 1994 found that 609 cases were diagnosed during that period, with breast  and uterine cancer being the most frequent among women (20.9% and 20.5% respectively) and prostate cancer being most frequent among men (22.6%); (c) beginning in the late 1970s and 1980, the cancer rate in Vieques became 27% higher than the rest of Puerto Rico.33; (d) from 1985 -1989, the risk of developing cancer for children up to nine years old was double the risk for children of the same age in the rest of Puerto Rico, while children from 10 to 19 years old had 3.5 times the risk of developing cancer</w:t>
      </w:r>
      <w:r>
        <w:rPr>
          <w:rFonts w:ascii="Cambria" w:hAnsi="Cambria"/>
          <w:sz w:val="20"/>
          <w:szCs w:val="20"/>
        </w:rPr>
        <w:t>.</w:t>
      </w:r>
    </w:p>
    <w:p w14:paraId="73BF385B" w14:textId="77777777" w:rsidR="00816E44" w:rsidRDefault="00816E44" w:rsidP="00816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E44">
        <w:rPr>
          <w:rFonts w:ascii="Cambria" w:hAnsi="Cambria"/>
          <w:sz w:val="20"/>
          <w:szCs w:val="20"/>
        </w:rPr>
        <w:t>With regard to other illnesses, the petitioners allege that (a) Viequenses suffer from a 381% higher hypertension rate than the rest of Puerto Rico and it is among the leading causes of death and that  from 1995 – 1998, 21% more Viequenses died from heart-related disease than the rest of Puerto Rico; (b) Respiratory illnesses, including asthma, have become highly prevalent in Vieques, especially among children, and that  from 1995 – 1998, 33% more Viequenses died of respiratory and lung-related illnesses than the rest of Puerto Rico; (c) Viequenses suffer from a 41% higher diabetes rate than the rest of the island, and from 1995 – 1998 approximately 15% more Viequenses died as a result of diabetes than the rest of Puerto Rico; (d)from 1975 – 1995, Vieques experienced a 55% higher infant mortality rate than the rest of Puerto Rico; and (e)from 1995 – 1999, general mortality rates were 34% higher on Vieques than the rest of Puerto Rico, including Fajardo, which is where the majority of Viequenses access health services.</w:t>
      </w:r>
    </w:p>
    <w:p w14:paraId="09E1E60F" w14:textId="77777777" w:rsidR="00816E44" w:rsidRDefault="00EF70F4" w:rsidP="00EF70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F70F4">
        <w:rPr>
          <w:rFonts w:ascii="Cambria" w:hAnsi="Cambria"/>
          <w:sz w:val="20"/>
          <w:szCs w:val="20"/>
        </w:rPr>
        <w:t>The petitioners also allege that numerous contaminants and heavy metals have also been detected in hair samples obtained from thousands of residents on Vieques, including: (</w:t>
      </w:r>
      <w:r>
        <w:rPr>
          <w:rFonts w:ascii="Cambria" w:hAnsi="Cambria"/>
          <w:sz w:val="20"/>
          <w:szCs w:val="20"/>
        </w:rPr>
        <w:t>a)t</w:t>
      </w:r>
      <w:r w:rsidRPr="00EF70F4">
        <w:rPr>
          <w:rFonts w:ascii="Cambria" w:hAnsi="Cambria"/>
          <w:sz w:val="20"/>
          <w:szCs w:val="20"/>
        </w:rPr>
        <w:t>oxic levels o</w:t>
      </w:r>
      <w:r>
        <w:rPr>
          <w:rFonts w:ascii="Cambria" w:hAnsi="Cambria"/>
          <w:sz w:val="20"/>
          <w:szCs w:val="20"/>
        </w:rPr>
        <w:t>f mercury; (b) t</w:t>
      </w:r>
      <w:r w:rsidRPr="00EF70F4">
        <w:rPr>
          <w:rFonts w:ascii="Cambria" w:hAnsi="Cambria"/>
          <w:sz w:val="20"/>
          <w:szCs w:val="20"/>
        </w:rPr>
        <w:t>oxic levels of lead contamination; (c</w:t>
      </w:r>
      <w:r>
        <w:rPr>
          <w:rFonts w:ascii="Cambria" w:hAnsi="Cambria"/>
          <w:sz w:val="20"/>
          <w:szCs w:val="20"/>
        </w:rPr>
        <w:t>) a</w:t>
      </w:r>
      <w:r w:rsidRPr="00EF70F4">
        <w:rPr>
          <w:rFonts w:ascii="Cambria" w:hAnsi="Cambria"/>
          <w:sz w:val="20"/>
          <w:szCs w:val="20"/>
        </w:rPr>
        <w:t>rsenic</w:t>
      </w:r>
      <w:r>
        <w:rPr>
          <w:rFonts w:ascii="Cambria" w:hAnsi="Cambria"/>
          <w:sz w:val="20"/>
          <w:szCs w:val="20"/>
        </w:rPr>
        <w:t xml:space="preserve"> contamination; (d) cadmium contamination; (e)aluminum contamination; and (f) a</w:t>
      </w:r>
      <w:r w:rsidRPr="00EF70F4">
        <w:rPr>
          <w:rFonts w:ascii="Cambria" w:hAnsi="Cambria"/>
          <w:sz w:val="20"/>
          <w:szCs w:val="20"/>
        </w:rPr>
        <w:t>ntimony contamination.</w:t>
      </w:r>
    </w:p>
    <w:p w14:paraId="3A438F9D" w14:textId="77777777" w:rsidR="00704749" w:rsidRDefault="00704749"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support of their claims</w:t>
      </w:r>
      <w:r w:rsidR="008B0045">
        <w:rPr>
          <w:rFonts w:ascii="Cambria" w:hAnsi="Cambria"/>
          <w:sz w:val="20"/>
          <w:szCs w:val="20"/>
        </w:rPr>
        <w:t xml:space="preserve"> under the American Declaration</w:t>
      </w:r>
      <w:r>
        <w:rPr>
          <w:rFonts w:ascii="Cambria" w:hAnsi="Cambria"/>
          <w:sz w:val="20"/>
          <w:szCs w:val="20"/>
        </w:rPr>
        <w:t xml:space="preserve">, the petitioners </w:t>
      </w:r>
      <w:r w:rsidR="008B0045">
        <w:rPr>
          <w:rFonts w:ascii="Cambria" w:hAnsi="Cambria"/>
          <w:sz w:val="20"/>
          <w:szCs w:val="20"/>
        </w:rPr>
        <w:t>also cite</w:t>
      </w:r>
      <w:r>
        <w:rPr>
          <w:rFonts w:ascii="Cambria" w:hAnsi="Cambria"/>
          <w:sz w:val="20"/>
          <w:szCs w:val="20"/>
        </w:rPr>
        <w:t xml:space="preserve"> various international instruments/jurisprudence such as </w:t>
      </w:r>
      <w:r w:rsidR="008B0045">
        <w:rPr>
          <w:rFonts w:ascii="Cambria" w:hAnsi="Cambria"/>
          <w:sz w:val="20"/>
          <w:szCs w:val="20"/>
        </w:rPr>
        <w:t xml:space="preserve">the </w:t>
      </w:r>
      <w:r w:rsidR="008B0045" w:rsidRPr="008B0045">
        <w:rPr>
          <w:rFonts w:ascii="Cambria" w:hAnsi="Cambria"/>
          <w:sz w:val="20"/>
          <w:szCs w:val="20"/>
        </w:rPr>
        <w:t>International Covenant on Economic, Social and Cultural Rights</w:t>
      </w:r>
      <w:r w:rsidR="008B0045">
        <w:rPr>
          <w:rFonts w:ascii="Cambria" w:hAnsi="Cambria"/>
          <w:sz w:val="20"/>
          <w:szCs w:val="20"/>
        </w:rPr>
        <w:t xml:space="preserve">, the </w:t>
      </w:r>
      <w:r w:rsidR="008B0045" w:rsidRPr="008B0045">
        <w:rPr>
          <w:rFonts w:ascii="Cambria" w:hAnsi="Cambria"/>
          <w:sz w:val="20"/>
          <w:szCs w:val="20"/>
        </w:rPr>
        <w:t>International Covenant on Civil and Political Rights</w:t>
      </w:r>
      <w:r w:rsidR="008B0045">
        <w:rPr>
          <w:rFonts w:ascii="Cambria" w:hAnsi="Cambria"/>
          <w:sz w:val="20"/>
          <w:szCs w:val="20"/>
        </w:rPr>
        <w:t xml:space="preserve">, and the </w:t>
      </w:r>
      <w:r w:rsidR="008B0045" w:rsidRPr="008B0045">
        <w:rPr>
          <w:rFonts w:ascii="Cambria" w:hAnsi="Cambria"/>
          <w:sz w:val="20"/>
          <w:szCs w:val="20"/>
        </w:rPr>
        <w:t>Convention on the Rights of the Child</w:t>
      </w:r>
      <w:r w:rsidR="008B0045">
        <w:rPr>
          <w:rFonts w:ascii="Cambria" w:hAnsi="Cambria"/>
          <w:sz w:val="20"/>
          <w:szCs w:val="20"/>
        </w:rPr>
        <w:t xml:space="preserve">. </w:t>
      </w:r>
    </w:p>
    <w:p w14:paraId="4CE93C6C" w14:textId="77777777" w:rsidR="00EF70F4" w:rsidRDefault="00EF70F4" w:rsidP="002D27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 the petition</w:t>
      </w:r>
      <w:r w:rsidRPr="00EF70F4">
        <w:rPr>
          <w:rFonts w:ascii="Cambria" w:hAnsi="Cambria"/>
          <w:sz w:val="20"/>
          <w:szCs w:val="20"/>
        </w:rPr>
        <w:t>, in 2005, the alleged victims filed a complaint against the United States Navy in the United States District Court of Puerto Rico under the Federal Tort Claims Act (FTCA) for the illegal use of explosives, ord</w:t>
      </w:r>
      <w:r w:rsidR="00021849">
        <w:rPr>
          <w:rFonts w:ascii="Cambria" w:hAnsi="Cambria"/>
          <w:sz w:val="20"/>
          <w:szCs w:val="20"/>
        </w:rPr>
        <w:t>i</w:t>
      </w:r>
      <w:r w:rsidRPr="00EF70F4">
        <w:rPr>
          <w:rFonts w:ascii="Cambria" w:hAnsi="Cambria"/>
          <w:sz w:val="20"/>
          <w:szCs w:val="20"/>
        </w:rPr>
        <w:t xml:space="preserve">nance and contaminants on the island over several decades, which caused “chronic, long term, negligent and/or deliberate exposure to toxic dust and contamination, hazardous waste and environmental damage. </w:t>
      </w:r>
      <w:r>
        <w:rPr>
          <w:rFonts w:ascii="Cambria" w:hAnsi="Cambria"/>
          <w:sz w:val="20"/>
          <w:szCs w:val="20"/>
        </w:rPr>
        <w:t>The petitioners indicate that t</w:t>
      </w:r>
      <w:r w:rsidRPr="00EF70F4">
        <w:rPr>
          <w:rFonts w:ascii="Cambria" w:hAnsi="Cambria"/>
          <w:sz w:val="20"/>
          <w:szCs w:val="20"/>
        </w:rPr>
        <w:t xml:space="preserve">he District Court dismissed the complaint on grounds of lack of subject matter jurisdiction. In dismissing the case, </w:t>
      </w:r>
      <w:r>
        <w:rPr>
          <w:rFonts w:ascii="Cambria" w:hAnsi="Cambria"/>
          <w:sz w:val="20"/>
          <w:szCs w:val="20"/>
        </w:rPr>
        <w:t xml:space="preserve">the petitioners contend that </w:t>
      </w:r>
      <w:r w:rsidRPr="00EF70F4">
        <w:rPr>
          <w:rFonts w:ascii="Cambria" w:hAnsi="Cambria"/>
          <w:sz w:val="20"/>
          <w:szCs w:val="20"/>
        </w:rPr>
        <w:t xml:space="preserve">the </w:t>
      </w:r>
      <w:r>
        <w:rPr>
          <w:rFonts w:ascii="Cambria" w:hAnsi="Cambria"/>
          <w:sz w:val="20"/>
          <w:szCs w:val="20"/>
        </w:rPr>
        <w:t xml:space="preserve">District Court </w:t>
      </w:r>
      <w:r w:rsidRPr="00EF70F4">
        <w:rPr>
          <w:rFonts w:ascii="Cambria" w:hAnsi="Cambria"/>
          <w:sz w:val="20"/>
          <w:szCs w:val="20"/>
        </w:rPr>
        <w:lastRenderedPageBreak/>
        <w:t xml:space="preserve">found that the act or omissions attributed to the United States Navy that resulted in the harms to the environmental and health of the island and residents of Vieques were “discretionary,” therefore not subject to the waiver of immunity under the FTCA.  </w:t>
      </w:r>
      <w:r>
        <w:rPr>
          <w:rFonts w:ascii="Cambria" w:hAnsi="Cambria"/>
          <w:sz w:val="20"/>
          <w:szCs w:val="20"/>
        </w:rPr>
        <w:t xml:space="preserve"> The petitioners indicate that an appeal was filed but ultimately dismissed by </w:t>
      </w:r>
      <w:r w:rsidRPr="00EF70F4">
        <w:rPr>
          <w:rFonts w:ascii="Cambria" w:hAnsi="Cambria"/>
          <w:sz w:val="20"/>
          <w:szCs w:val="20"/>
        </w:rPr>
        <w:t>the Court of Ap</w:t>
      </w:r>
      <w:r>
        <w:rPr>
          <w:rFonts w:ascii="Cambria" w:hAnsi="Cambria"/>
          <w:sz w:val="20"/>
          <w:szCs w:val="20"/>
        </w:rPr>
        <w:t>peals for the First Circuit.</w:t>
      </w:r>
      <w:r w:rsidRPr="00EF70F4">
        <w:rPr>
          <w:rFonts w:ascii="Cambria" w:hAnsi="Cambria"/>
          <w:sz w:val="20"/>
          <w:szCs w:val="20"/>
        </w:rPr>
        <w:t xml:space="preserve"> </w:t>
      </w:r>
      <w:r>
        <w:rPr>
          <w:rFonts w:ascii="Cambria" w:hAnsi="Cambria"/>
          <w:sz w:val="20"/>
          <w:szCs w:val="20"/>
        </w:rPr>
        <w:t xml:space="preserve"> According to the petitioners, o</w:t>
      </w:r>
      <w:r w:rsidRPr="00EF70F4">
        <w:rPr>
          <w:rFonts w:ascii="Cambria" w:hAnsi="Cambria"/>
          <w:sz w:val="20"/>
          <w:szCs w:val="20"/>
        </w:rPr>
        <w:t>n September 13, 2012, the alleged victims then appealed this determination to the US Supreme Court (by way of writ of certiorari</w:t>
      </w:r>
      <w:r w:rsidR="007F326E">
        <w:rPr>
          <w:rFonts w:ascii="Cambria" w:hAnsi="Cambria"/>
          <w:sz w:val="20"/>
          <w:szCs w:val="20"/>
        </w:rPr>
        <w:t>)</w:t>
      </w:r>
      <w:r w:rsidRPr="00EF70F4">
        <w:rPr>
          <w:rFonts w:ascii="Cambria" w:hAnsi="Cambria"/>
          <w:sz w:val="20"/>
          <w:szCs w:val="20"/>
        </w:rPr>
        <w:t xml:space="preserve">, which, on March 25, 2013, declined to address the claim. </w:t>
      </w:r>
      <w:r w:rsidR="002D279B" w:rsidRPr="002D279B">
        <w:rPr>
          <w:rFonts w:ascii="Cambria" w:hAnsi="Cambria"/>
          <w:sz w:val="20"/>
          <w:szCs w:val="20"/>
        </w:rPr>
        <w:t>The petitioners add that the claims of the alleged victims were part of larger claim brought by 7125 residents of Vieques</w:t>
      </w:r>
      <w:r w:rsidR="00122A8E">
        <w:rPr>
          <w:rFonts w:ascii="Cambria" w:hAnsi="Cambria"/>
          <w:sz w:val="20"/>
          <w:szCs w:val="20"/>
        </w:rPr>
        <w:t xml:space="preserve"> (known as “the Sanchez litigation”)</w:t>
      </w:r>
      <w:r w:rsidR="002D279B" w:rsidRPr="002D279B">
        <w:rPr>
          <w:rFonts w:ascii="Cambria" w:hAnsi="Cambria"/>
          <w:sz w:val="20"/>
          <w:szCs w:val="20"/>
        </w:rPr>
        <w:t xml:space="preserve">. </w:t>
      </w:r>
      <w:r w:rsidRPr="00EF70F4">
        <w:rPr>
          <w:rFonts w:ascii="Cambria" w:hAnsi="Cambria"/>
          <w:sz w:val="20"/>
          <w:szCs w:val="20"/>
        </w:rPr>
        <w:t xml:space="preserve">  For the petitioners, this decision of the Supreme Court signified the </w:t>
      </w:r>
      <w:r>
        <w:rPr>
          <w:rFonts w:ascii="Cambria" w:hAnsi="Cambria"/>
          <w:sz w:val="20"/>
          <w:szCs w:val="20"/>
        </w:rPr>
        <w:t xml:space="preserve">exhaustion of domestic remedies, and that the subsequent petition to the IACHR on </w:t>
      </w:r>
      <w:r w:rsidRPr="00EF70F4">
        <w:rPr>
          <w:rFonts w:ascii="Cambria" w:hAnsi="Cambria"/>
          <w:sz w:val="20"/>
          <w:szCs w:val="20"/>
        </w:rPr>
        <w:t>Sept 23, 2013</w:t>
      </w:r>
      <w:r>
        <w:rPr>
          <w:rFonts w:ascii="Cambria" w:hAnsi="Cambria"/>
          <w:sz w:val="20"/>
          <w:szCs w:val="20"/>
        </w:rPr>
        <w:t xml:space="preserve"> was therefore timely. </w:t>
      </w:r>
    </w:p>
    <w:p w14:paraId="2ABFD287" w14:textId="77777777" w:rsidR="00223B0E" w:rsidRPr="00223B0E" w:rsidRDefault="00223B0E" w:rsidP="007047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 that the State </w:t>
      </w:r>
      <w:r w:rsidRPr="00223B0E">
        <w:rPr>
          <w:rFonts w:ascii="Cambria" w:hAnsi="Cambria"/>
          <w:sz w:val="20"/>
          <w:szCs w:val="20"/>
        </w:rPr>
        <w:t>has established a community board identified as the Restoration Advisory Board (“RAB”), which is composed of representatives of the Navy, the Environmental Protection Agency (EPA), representatives of the Planning Board from the Commonwealth of Puerto Rico and local residents of Vieques.</w:t>
      </w:r>
      <w:r>
        <w:rPr>
          <w:rFonts w:ascii="Cambria" w:hAnsi="Cambria"/>
          <w:sz w:val="20"/>
          <w:szCs w:val="20"/>
        </w:rPr>
        <w:t xml:space="preserve">  </w:t>
      </w:r>
      <w:r w:rsidR="00704749">
        <w:rPr>
          <w:rFonts w:ascii="Cambria" w:hAnsi="Cambria"/>
          <w:sz w:val="20"/>
          <w:szCs w:val="20"/>
        </w:rPr>
        <w:t>However,</w:t>
      </w:r>
      <w:r>
        <w:rPr>
          <w:rFonts w:ascii="Cambria" w:hAnsi="Cambria"/>
          <w:sz w:val="20"/>
          <w:szCs w:val="20"/>
        </w:rPr>
        <w:t xml:space="preserve"> the petitioners assert </w:t>
      </w:r>
      <w:r w:rsidRPr="00223B0E">
        <w:rPr>
          <w:rFonts w:ascii="Cambria" w:hAnsi="Cambria"/>
          <w:sz w:val="20"/>
          <w:szCs w:val="20"/>
        </w:rPr>
        <w:t>the RAB is a quasi-administrative entity, no</w:t>
      </w:r>
      <w:r>
        <w:rPr>
          <w:rFonts w:ascii="Cambria" w:hAnsi="Cambria"/>
          <w:sz w:val="20"/>
          <w:szCs w:val="20"/>
        </w:rPr>
        <w:t xml:space="preserve">t a judicial process, and hence </w:t>
      </w:r>
      <w:r w:rsidRPr="00223B0E">
        <w:rPr>
          <w:rFonts w:ascii="Cambria" w:hAnsi="Cambria"/>
          <w:sz w:val="20"/>
          <w:szCs w:val="20"/>
        </w:rPr>
        <w:t>traditional due process protections are not available</w:t>
      </w:r>
      <w:r>
        <w:rPr>
          <w:rFonts w:ascii="Cambria" w:hAnsi="Cambria"/>
          <w:sz w:val="20"/>
          <w:szCs w:val="20"/>
        </w:rPr>
        <w:t>.</w:t>
      </w:r>
      <w:r w:rsidR="00704749">
        <w:rPr>
          <w:rFonts w:ascii="Cambria" w:hAnsi="Cambria"/>
          <w:sz w:val="20"/>
          <w:szCs w:val="20"/>
        </w:rPr>
        <w:t xml:space="preserve"> According to the petitioners, the</w:t>
      </w:r>
      <w:r w:rsidR="00704749" w:rsidRPr="00704749">
        <w:rPr>
          <w:rFonts w:ascii="Cambria" w:hAnsi="Cambria"/>
          <w:sz w:val="20"/>
          <w:szCs w:val="20"/>
        </w:rPr>
        <w:t xml:space="preserve"> residents of Vieques who attend the quarterly meetings are informed of the steps being taken regarding the surface removal and cleanup actions by the Navy</w:t>
      </w:r>
      <w:r w:rsidR="00704749">
        <w:rPr>
          <w:rFonts w:ascii="Cambria" w:hAnsi="Cambria"/>
          <w:sz w:val="20"/>
          <w:szCs w:val="20"/>
        </w:rPr>
        <w:t xml:space="preserve">, but that they </w:t>
      </w:r>
      <w:r w:rsidR="00704749" w:rsidRPr="00704749">
        <w:rPr>
          <w:rFonts w:ascii="Cambria" w:hAnsi="Cambria"/>
          <w:sz w:val="20"/>
          <w:szCs w:val="20"/>
        </w:rPr>
        <w:t>are not allowed to make discovery requests of the RAB.</w:t>
      </w:r>
      <w:r w:rsidR="00704749">
        <w:rPr>
          <w:rFonts w:ascii="Cambria" w:hAnsi="Cambria"/>
          <w:sz w:val="20"/>
          <w:szCs w:val="20"/>
        </w:rPr>
        <w:t xml:space="preserve">  Accordingly, the petitioners conclude that this is mechanism is not a substitute for a judicial remedy.</w:t>
      </w:r>
    </w:p>
    <w:p w14:paraId="1BFC4FF9" w14:textId="2CDADBB3" w:rsidR="002D279B" w:rsidRDefault="002C69A6" w:rsidP="002C6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69A6">
        <w:rPr>
          <w:rFonts w:ascii="Cambria" w:hAnsi="Cambria"/>
          <w:sz w:val="20"/>
          <w:szCs w:val="20"/>
        </w:rPr>
        <w:t>State rejects petition on the following grounds</w:t>
      </w:r>
      <w:r>
        <w:rPr>
          <w:rFonts w:ascii="Cambria" w:hAnsi="Cambria"/>
          <w:sz w:val="20"/>
          <w:szCs w:val="20"/>
        </w:rPr>
        <w:t xml:space="preserve">: (a) </w:t>
      </w:r>
      <w:r w:rsidRPr="002C69A6">
        <w:rPr>
          <w:rFonts w:ascii="Cambria" w:hAnsi="Cambria"/>
          <w:sz w:val="20"/>
          <w:szCs w:val="20"/>
        </w:rPr>
        <w:t xml:space="preserve">the claims are beyond the jurisdiction of the Commission, </w:t>
      </w:r>
      <w:r w:rsidRPr="002C69A6">
        <w:rPr>
          <w:rFonts w:ascii="Cambria" w:hAnsi="Cambria"/>
          <w:i/>
          <w:sz w:val="20"/>
          <w:szCs w:val="20"/>
        </w:rPr>
        <w:t xml:space="preserve">ratione temporis, </w:t>
      </w:r>
      <w:r w:rsidR="00BB4C68" w:rsidRPr="002C69A6">
        <w:rPr>
          <w:rFonts w:ascii="Cambria" w:hAnsi="Cambria"/>
          <w:i/>
          <w:sz w:val="20"/>
          <w:szCs w:val="20"/>
        </w:rPr>
        <w:t>ratione</w:t>
      </w:r>
      <w:r w:rsidRPr="002C69A6">
        <w:rPr>
          <w:rFonts w:ascii="Cambria" w:hAnsi="Cambria"/>
          <w:i/>
          <w:sz w:val="20"/>
          <w:szCs w:val="20"/>
        </w:rPr>
        <w:t xml:space="preserve"> personae, and ratione materiae</w:t>
      </w:r>
      <w:r>
        <w:rPr>
          <w:rFonts w:ascii="Cambria" w:hAnsi="Cambria"/>
          <w:sz w:val="20"/>
          <w:szCs w:val="20"/>
        </w:rPr>
        <w:t xml:space="preserve">; (b) the </w:t>
      </w:r>
      <w:r w:rsidRPr="002C69A6">
        <w:rPr>
          <w:rFonts w:ascii="Cambria" w:hAnsi="Cambria"/>
          <w:sz w:val="20"/>
          <w:szCs w:val="20"/>
        </w:rPr>
        <w:t>petitioners have failed to exhaust domestic remedies as required by Article 31 of the Rules of Procedure</w:t>
      </w:r>
      <w:r>
        <w:rPr>
          <w:rFonts w:ascii="Cambria" w:hAnsi="Cambria"/>
          <w:sz w:val="20"/>
          <w:szCs w:val="20"/>
        </w:rPr>
        <w:t xml:space="preserve">; (c) the </w:t>
      </w:r>
      <w:r w:rsidRPr="002C69A6">
        <w:rPr>
          <w:rFonts w:ascii="Cambria" w:hAnsi="Cambria"/>
          <w:sz w:val="20"/>
          <w:szCs w:val="20"/>
        </w:rPr>
        <w:t xml:space="preserve">petitioners have failed to set out facts that tend to establish violations of </w:t>
      </w:r>
      <w:r>
        <w:rPr>
          <w:rFonts w:ascii="Cambria" w:hAnsi="Cambria"/>
          <w:sz w:val="20"/>
          <w:szCs w:val="20"/>
        </w:rPr>
        <w:t xml:space="preserve">the American Declaration </w:t>
      </w:r>
      <w:r w:rsidRPr="002C69A6">
        <w:rPr>
          <w:rFonts w:ascii="Cambria" w:hAnsi="Cambria"/>
          <w:sz w:val="20"/>
          <w:szCs w:val="20"/>
        </w:rPr>
        <w:t>pursuant to Article 34 (a) and is manifestly groundless under Article 34 (b</w:t>
      </w:r>
      <w:r>
        <w:rPr>
          <w:rFonts w:ascii="Cambria" w:hAnsi="Cambria"/>
          <w:sz w:val="20"/>
          <w:szCs w:val="20"/>
        </w:rPr>
        <w:t xml:space="preserve">). </w:t>
      </w:r>
    </w:p>
    <w:p w14:paraId="3994CF83" w14:textId="77777777" w:rsidR="002C69A6" w:rsidRDefault="002C69A6" w:rsidP="002C6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69A6">
        <w:rPr>
          <w:rFonts w:ascii="Cambria" w:hAnsi="Cambria"/>
          <w:sz w:val="20"/>
          <w:szCs w:val="20"/>
        </w:rPr>
        <w:t>By way of background, the State confirms that the United States Navy acquired land and built facilities on Vieques Island between 1941 and 1943.  In this regard, the State further indicates that (a  the Navy used 22,000 of the island's 33,000 acres as a training ground and live ordnance range at various points between 1941 and 2003</w:t>
      </w:r>
      <w:r>
        <w:rPr>
          <w:rFonts w:ascii="Cambria" w:hAnsi="Cambria"/>
          <w:sz w:val="20"/>
          <w:szCs w:val="20"/>
        </w:rPr>
        <w:t>;</w:t>
      </w:r>
      <w:r w:rsidRPr="002C69A6">
        <w:rPr>
          <w:rFonts w:ascii="Cambria" w:hAnsi="Cambria"/>
          <w:sz w:val="20"/>
          <w:szCs w:val="20"/>
        </w:rPr>
        <w:t xml:space="preserve"> (b) the Navy  established an ammunition facility on the western end of the island and used the eastern half of the island as a training range, which included a “live impact area” and an adjacent “maneuver area.; </w:t>
      </w:r>
      <w:r>
        <w:rPr>
          <w:rFonts w:ascii="Cambria" w:hAnsi="Cambria"/>
          <w:sz w:val="20"/>
          <w:szCs w:val="20"/>
        </w:rPr>
        <w:t xml:space="preserve">and </w:t>
      </w:r>
      <w:r w:rsidRPr="002C69A6">
        <w:rPr>
          <w:rFonts w:ascii="Cambria" w:hAnsi="Cambria"/>
          <w:sz w:val="20"/>
          <w:szCs w:val="20"/>
        </w:rPr>
        <w:t>(c)   training exercises incorporated live munitions to simulate combat conditions, including artillery, mortar, small arms fire, naval surface fire, and aircraft strikes. The Navy also operated an open burning/open detonation facility on the island, where it incinerated and detonated unused ordnance.  The State indicates that in May 2000, the Navy discontinued all live-fire training exercises; all military exercises in Vieques were terminated as of April 30, 2003.</w:t>
      </w:r>
    </w:p>
    <w:p w14:paraId="1CE99614" w14:textId="77777777" w:rsidR="002C69A6" w:rsidRDefault="0061671C" w:rsidP="006167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671C">
        <w:rPr>
          <w:rFonts w:ascii="Cambria" w:hAnsi="Cambria"/>
          <w:sz w:val="20"/>
          <w:szCs w:val="20"/>
        </w:rPr>
        <w:t>The State further asserts that following the termination of military exercises in 2003, the Navy/US government initiated an environmental clean –up operation in Vieques pursuant to the Comprehensive Environmental Response, Compensation, and Liability Act, 42 U.S.C. 9601–9675 (“CERCLA” or “the Act”).  According to the State This law was enacted in response to the dangers of uncontrolled releases or threatened releases of hazardous substances and releases or substantial threats of releases into the environment of any pollutant or contaminant that may present an imminent or substantial danger to the public health or welfare.   As part of this whole of United States Government response, the Navy has to date spent over $280 million dollars on the cleanup operation.   Pursuant to this clean-up operation, the State asserts that it has initiated or completed a number of measures including identification of total of 54 sites: 16 in west Vieques and 38 on in east Vieques.  According to the State, to date, 51 of the sites are at a “Site Closure status”, whereby the sites are suitable for unrestricted use and require no further action; and that for the three remaining sites, two sites have final remedies ongoing, and the final remedy for one site is anticipated to begin in 2021.</w:t>
      </w:r>
    </w:p>
    <w:p w14:paraId="482F4DAA" w14:textId="632B2636" w:rsidR="0061671C" w:rsidRDefault="00223B0E" w:rsidP="00223B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3B0E">
        <w:rPr>
          <w:rFonts w:ascii="Cambria" w:hAnsi="Cambria"/>
          <w:sz w:val="20"/>
          <w:szCs w:val="20"/>
        </w:rPr>
        <w:t xml:space="preserve">The State further affirms that the Navy also identified 19 additional munitions response sites associated with former Navy activities on Vieques: 18 sites are on land, while underwater areas offshore are grouped as one site. Significant efforts to remove munitions have been ongoing since 2005.  Approximately 4,000 acres have been surface cleared of munitions, and 23 miles of roads and beaches have been subsurface cleared. During this effort, over 7.7 million items of Material Potentially Presenting an Explosive Hazard </w:t>
      </w:r>
      <w:r w:rsidRPr="00223B0E">
        <w:rPr>
          <w:rFonts w:ascii="Cambria" w:hAnsi="Cambria"/>
          <w:sz w:val="20"/>
          <w:szCs w:val="20"/>
        </w:rPr>
        <w:lastRenderedPageBreak/>
        <w:t xml:space="preserve">(MPPEH) have been safely recovered and processed.  </w:t>
      </w:r>
      <w:r>
        <w:rPr>
          <w:rFonts w:ascii="Cambria" w:hAnsi="Cambria"/>
          <w:sz w:val="20"/>
          <w:szCs w:val="20"/>
        </w:rPr>
        <w:t>According to the State, t</w:t>
      </w:r>
      <w:r w:rsidRPr="00223B0E">
        <w:rPr>
          <w:rFonts w:ascii="Cambria" w:hAnsi="Cambria"/>
          <w:sz w:val="20"/>
          <w:szCs w:val="20"/>
        </w:rPr>
        <w:t>o date, the Navy has removed approximately 102,000 munitions items, including 39,000 projectiles, 32,000 bombs, 4,300 mortars, 1,300 rockets, 16,000 submunitions</w:t>
      </w:r>
      <w:r w:rsidR="00BB4C68">
        <w:rPr>
          <w:rFonts w:ascii="Cambria" w:hAnsi="Cambria"/>
          <w:sz w:val="20"/>
          <w:szCs w:val="20"/>
        </w:rPr>
        <w:t>;</w:t>
      </w:r>
      <w:r w:rsidRPr="00223B0E">
        <w:rPr>
          <w:rFonts w:ascii="Cambria" w:hAnsi="Cambria"/>
          <w:sz w:val="20"/>
          <w:szCs w:val="20"/>
        </w:rPr>
        <w:t xml:space="preserve"> and 9,400 grenades, flares, pyrotechnics, and other munitions.  The remaining 7.6M items were scrap metal or other material documented as safe. Approximately 57,000 munitions items have been destroyed in controlled detonations, and 45,000 munitions items have been processed by other means.  Approximately 18.7 million pounds of munitions-related scrap metal have been safely processed, and 16.4 million pounds of scrap metal have been shipped off-site for recycling.   Further, the State submits that in 2017 a comprehensive assessment was completed across 12,000 underwater acres to investigate the general location of underwater munitions around Vieques.  As a follow-up to the assessment, more detailed underwater investigations have been initiated, and these CERCLA investigations are anticipated to be completed by 2027. In addition, a CERCLA removal action for underwater munitions was initiated in 2017. As the first step, underwater munitions were safely removed from the offshore area near a public beach. This underwater removal action is programmed to continue through 2031 in areas around Vieques that have the greatest potential exposure to underwater munitions. Finally, CERCLA remedial actions for the underwater sites are expected to be completed by 2032.</w:t>
      </w:r>
    </w:p>
    <w:p w14:paraId="59C348C6" w14:textId="186B0939" w:rsidR="00223B0E" w:rsidRDefault="00223B0E" w:rsidP="00223B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3B0E">
        <w:rPr>
          <w:rFonts w:ascii="Cambria" w:hAnsi="Cambria"/>
          <w:sz w:val="20"/>
          <w:szCs w:val="20"/>
        </w:rPr>
        <w:t xml:space="preserve">The State submits that in conformity with the requirements of CERCLA, that it has incorporated community involvement in the clean-up </w:t>
      </w:r>
      <w:r w:rsidR="00C743FF" w:rsidRPr="00223B0E">
        <w:rPr>
          <w:rFonts w:ascii="Cambria" w:hAnsi="Cambria"/>
          <w:sz w:val="20"/>
          <w:szCs w:val="20"/>
        </w:rPr>
        <w:t>process and</w:t>
      </w:r>
      <w:r w:rsidRPr="00223B0E">
        <w:rPr>
          <w:rFonts w:ascii="Cambria" w:hAnsi="Cambria"/>
          <w:sz w:val="20"/>
          <w:szCs w:val="20"/>
        </w:rPr>
        <w:t xml:space="preserve"> has done so through mechanisms such as Restoration Advisory </w:t>
      </w:r>
      <w:r w:rsidR="00704749" w:rsidRPr="00223B0E">
        <w:rPr>
          <w:rFonts w:ascii="Cambria" w:hAnsi="Cambria"/>
          <w:sz w:val="20"/>
          <w:szCs w:val="20"/>
        </w:rPr>
        <w:t>Board</w:t>
      </w:r>
      <w:r w:rsidR="00704749">
        <w:rPr>
          <w:rFonts w:ascii="Cambria" w:hAnsi="Cambria"/>
          <w:sz w:val="20"/>
          <w:szCs w:val="20"/>
        </w:rPr>
        <w:t>s</w:t>
      </w:r>
      <w:r w:rsidR="00704749" w:rsidRPr="00223B0E">
        <w:rPr>
          <w:rFonts w:ascii="Cambria" w:hAnsi="Cambria"/>
          <w:sz w:val="20"/>
          <w:szCs w:val="20"/>
        </w:rPr>
        <w:t xml:space="preserve"> (</w:t>
      </w:r>
      <w:r w:rsidRPr="00223B0E">
        <w:rPr>
          <w:rFonts w:ascii="Cambria" w:hAnsi="Cambria"/>
          <w:sz w:val="20"/>
          <w:szCs w:val="20"/>
        </w:rPr>
        <w:t>RAB).  According to the State, throughout the cleanup process, the community is provided information and opportunities to participate as active partners in the decisions that affect the cleanup activities in their community</w:t>
      </w:r>
      <w:r w:rsidR="00704749">
        <w:rPr>
          <w:rFonts w:ascii="Cambria" w:hAnsi="Cambria"/>
          <w:sz w:val="20"/>
          <w:szCs w:val="20"/>
        </w:rPr>
        <w:t>.</w:t>
      </w:r>
    </w:p>
    <w:p w14:paraId="33CBC1DA" w14:textId="04661474" w:rsidR="00704749" w:rsidRDefault="00704749" w:rsidP="007047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749">
        <w:rPr>
          <w:rFonts w:ascii="Cambria" w:hAnsi="Cambria"/>
          <w:sz w:val="20"/>
          <w:szCs w:val="20"/>
        </w:rPr>
        <w:t xml:space="preserve">The State denies the claim of petitioners the Navy has followed unsafe cleanup processes such as detonating unexploded ordnances and initiating open-air burning as a low budget alternative to safe and effective decontamination efforts.  According to the State, in an Environmental Restoration Fact Sheet the Navy explained to the public why controlled burning is sometime necessary for safety reasons and that over 12 years of extensive air sampling have shown that the smoke from these burn events does not contain toxic chemicals and does not reach Vieques residences or businesses.”  The State argues </w:t>
      </w:r>
      <w:r w:rsidR="00C743FF" w:rsidRPr="00704749">
        <w:rPr>
          <w:rFonts w:ascii="Cambria" w:hAnsi="Cambria"/>
          <w:sz w:val="20"/>
          <w:szCs w:val="20"/>
        </w:rPr>
        <w:t>that</w:t>
      </w:r>
      <w:r w:rsidRPr="00704749">
        <w:rPr>
          <w:rFonts w:ascii="Cambria" w:hAnsi="Cambria"/>
          <w:sz w:val="20"/>
          <w:szCs w:val="20"/>
        </w:rPr>
        <w:t xml:space="preserve"> the Navy has sampled and modeled air quality at Vieques throughout the remediation process, and the results show that the open detonations are conducted in a manner that is protective of human health and the environment.</w:t>
      </w:r>
    </w:p>
    <w:p w14:paraId="2AD88D95" w14:textId="60846C1E" w:rsidR="00704749" w:rsidRPr="00C67574" w:rsidRDefault="00BB4C68" w:rsidP="007047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i/>
          <w:sz w:val="20"/>
          <w:szCs w:val="20"/>
        </w:rPr>
      </w:pPr>
      <w:r>
        <w:rPr>
          <w:rFonts w:ascii="Cambria" w:hAnsi="Cambria"/>
          <w:b/>
          <w:sz w:val="20"/>
          <w:szCs w:val="20"/>
        </w:rPr>
        <w:tab/>
      </w:r>
      <w:r>
        <w:rPr>
          <w:rFonts w:ascii="Cambria" w:hAnsi="Cambria"/>
          <w:b/>
          <w:sz w:val="20"/>
          <w:szCs w:val="20"/>
        </w:rPr>
        <w:tab/>
      </w:r>
      <w:r w:rsidR="00704749" w:rsidRPr="00C67574">
        <w:rPr>
          <w:rFonts w:ascii="Cambria" w:hAnsi="Cambria"/>
          <w:b/>
          <w:i/>
          <w:sz w:val="20"/>
          <w:szCs w:val="20"/>
        </w:rPr>
        <w:t>Ratione temporis</w:t>
      </w:r>
    </w:p>
    <w:p w14:paraId="50BC483F" w14:textId="77777777" w:rsidR="00704749" w:rsidRPr="00704749" w:rsidRDefault="00704749" w:rsidP="007047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749">
        <w:rPr>
          <w:rFonts w:ascii="Cambria" w:hAnsi="Cambria"/>
          <w:sz w:val="20"/>
          <w:szCs w:val="20"/>
        </w:rPr>
        <w:t xml:space="preserve">According to the State, the Commission may not consider claims in the Petition relating to alleged “expropriation” that occurred between 1941 and 1943 in violation of Petitioners’ “right of residence and movement” (alleged violations of Article VIII of the American Declaration) because these events do not fall within the Commission’s competence </w:t>
      </w:r>
      <w:r w:rsidRPr="00DE20A0">
        <w:rPr>
          <w:rFonts w:ascii="Cambria" w:hAnsi="Cambria"/>
          <w:i/>
          <w:sz w:val="20"/>
          <w:szCs w:val="20"/>
        </w:rPr>
        <w:t>ratione temporis</w:t>
      </w:r>
      <w:r w:rsidRPr="00704749">
        <w:rPr>
          <w:rFonts w:ascii="Cambria" w:hAnsi="Cambria"/>
          <w:sz w:val="20"/>
          <w:szCs w:val="20"/>
        </w:rPr>
        <w:t xml:space="preserve">.  These events occurred before the adoption of the American Declaration and the establishment of the Commission, and they do not constitute continuing acts that would otherwise bring them within the Commission’s jurisdiction.  The State emphasizes that the acquisition of property in 1941-1943 was a discrete act, and not a continuing act. The argues that the events during and after the acquisition of land on Vieques are outside the competence </w:t>
      </w:r>
      <w:r w:rsidRPr="00DE20A0">
        <w:rPr>
          <w:rFonts w:ascii="Cambria" w:hAnsi="Cambria"/>
          <w:i/>
          <w:sz w:val="20"/>
          <w:szCs w:val="20"/>
        </w:rPr>
        <w:t>ratione temporis</w:t>
      </w:r>
      <w:r w:rsidRPr="00704749">
        <w:rPr>
          <w:rFonts w:ascii="Cambria" w:hAnsi="Cambria"/>
          <w:sz w:val="20"/>
          <w:szCs w:val="20"/>
        </w:rPr>
        <w:t xml:space="preserve"> of the Commission and therefore may not be considered by the Commission, either directly or indirectly through a legal argument that the alleged harm suffered as a result of the acquisition somehow brings that acquisition itself within the Commission’s jurisdiction. </w:t>
      </w:r>
      <w:r>
        <w:rPr>
          <w:rFonts w:ascii="Cambria" w:hAnsi="Cambria"/>
          <w:sz w:val="20"/>
          <w:szCs w:val="20"/>
        </w:rPr>
        <w:t xml:space="preserve">For the State, such </w:t>
      </w:r>
      <w:r w:rsidRPr="00704749">
        <w:rPr>
          <w:rFonts w:ascii="Cambria" w:hAnsi="Cambria"/>
          <w:sz w:val="20"/>
          <w:szCs w:val="20"/>
        </w:rPr>
        <w:t>an argument is without foundation in the American Declaration or international jurisprudence more broadly.</w:t>
      </w:r>
    </w:p>
    <w:p w14:paraId="622C7ECA" w14:textId="77777777" w:rsidR="00704749" w:rsidRPr="00704749" w:rsidRDefault="00704749" w:rsidP="007047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749">
        <w:rPr>
          <w:rFonts w:ascii="Cambria" w:hAnsi="Cambria"/>
          <w:sz w:val="20"/>
          <w:szCs w:val="20"/>
        </w:rPr>
        <w:t xml:space="preserve">The State contends that in some respects, this claim resembles the petition in Isamu Carlos Shibayama et al. v. United States, where the Commission was asked to consider alleged violations related to a World War II-era internment program, and the petitioners attempted to argue, as they do in the instant Petition, that the violations dating from the 1940s were continuing acts.  In its decision on admissibility, the Commission rejected that argument and correctly concluded that these events were outside of its competence </w:t>
      </w:r>
      <w:r w:rsidRPr="00F430C6">
        <w:rPr>
          <w:rFonts w:ascii="Cambria" w:hAnsi="Cambria"/>
          <w:i/>
          <w:sz w:val="20"/>
          <w:szCs w:val="20"/>
        </w:rPr>
        <w:t>ratione temporis</w:t>
      </w:r>
      <w:r w:rsidRPr="00704749">
        <w:rPr>
          <w:rFonts w:ascii="Cambria" w:hAnsi="Cambria"/>
          <w:sz w:val="20"/>
          <w:szCs w:val="20"/>
        </w:rPr>
        <w:t>. The Commission should do the same in this case with regard to the acquisition of land by the Navy on Vieques in 1941-1943.</w:t>
      </w:r>
    </w:p>
    <w:p w14:paraId="6A4CA23D" w14:textId="77777777" w:rsidR="00C44739" w:rsidRDefault="00BB4C68" w:rsidP="007047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rPr>
      </w:pPr>
      <w:r>
        <w:rPr>
          <w:rFonts w:ascii="Cambria" w:hAnsi="Cambria"/>
          <w:b/>
          <w:sz w:val="20"/>
          <w:szCs w:val="20"/>
        </w:rPr>
        <w:tab/>
      </w:r>
    </w:p>
    <w:p w14:paraId="6008E66B" w14:textId="0AD1F295" w:rsidR="00704749" w:rsidRPr="00C67574" w:rsidRDefault="00BB4C68" w:rsidP="007047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i/>
          <w:sz w:val="20"/>
          <w:szCs w:val="20"/>
        </w:rPr>
      </w:pPr>
      <w:r>
        <w:rPr>
          <w:rFonts w:ascii="Cambria" w:hAnsi="Cambria"/>
          <w:b/>
          <w:sz w:val="20"/>
          <w:szCs w:val="20"/>
        </w:rPr>
        <w:lastRenderedPageBreak/>
        <w:tab/>
      </w:r>
      <w:r w:rsidR="004E5444">
        <w:rPr>
          <w:rFonts w:ascii="Cambria" w:hAnsi="Cambria"/>
          <w:b/>
          <w:sz w:val="20"/>
          <w:szCs w:val="20"/>
        </w:rPr>
        <w:tab/>
      </w:r>
      <w:r w:rsidR="00704749" w:rsidRPr="00C67574">
        <w:rPr>
          <w:rFonts w:ascii="Cambria" w:hAnsi="Cambria"/>
          <w:b/>
          <w:i/>
          <w:sz w:val="20"/>
          <w:szCs w:val="20"/>
        </w:rPr>
        <w:t>Ratione materiae</w:t>
      </w:r>
    </w:p>
    <w:p w14:paraId="507C8B4F" w14:textId="290E5497" w:rsidR="00704749" w:rsidRDefault="00704749" w:rsidP="007047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749">
        <w:rPr>
          <w:rFonts w:ascii="Cambria" w:hAnsi="Cambria"/>
          <w:sz w:val="20"/>
          <w:szCs w:val="20"/>
        </w:rPr>
        <w:t xml:space="preserve">The State notes that the petitioners have anchored their claims in specific provisions of the American </w:t>
      </w:r>
      <w:r w:rsidR="00C743FF" w:rsidRPr="00704749">
        <w:rPr>
          <w:rFonts w:ascii="Cambria" w:hAnsi="Cambria"/>
          <w:sz w:val="20"/>
          <w:szCs w:val="20"/>
        </w:rPr>
        <w:t>Declaration but</w:t>
      </w:r>
      <w:r w:rsidRPr="00704749">
        <w:rPr>
          <w:rFonts w:ascii="Cambria" w:hAnsi="Cambria"/>
          <w:sz w:val="20"/>
          <w:szCs w:val="20"/>
        </w:rPr>
        <w:t xml:space="preserve"> allege that they have simultaneously attempted to expand the competence of the Commission by invoking an array of other international instruments to substantiate their claims that international legal obligations have been violated.   For the State, such recourse to international instruments and authorities beyond the American Declaration reflects the reality that petitioners’ claims do not implicate provisions of the American Declaration, leaving them to look to other instruments in their attempt to construe cognizable claims.  As a result, the State concludes that the Commission lacks the competence </w:t>
      </w:r>
      <w:r w:rsidRPr="00F430C6">
        <w:rPr>
          <w:rFonts w:ascii="Cambria" w:hAnsi="Cambria"/>
          <w:i/>
          <w:sz w:val="20"/>
          <w:szCs w:val="20"/>
        </w:rPr>
        <w:t>ratione materiae</w:t>
      </w:r>
      <w:r w:rsidRPr="00704749">
        <w:rPr>
          <w:rFonts w:ascii="Cambria" w:hAnsi="Cambria"/>
          <w:sz w:val="20"/>
          <w:szCs w:val="20"/>
        </w:rPr>
        <w:t xml:space="preserve"> to entertain the claims contained in the Petition.</w:t>
      </w:r>
    </w:p>
    <w:p w14:paraId="54F939E1" w14:textId="10E42174" w:rsidR="008B0045" w:rsidRPr="00C67574" w:rsidRDefault="00BB4C68" w:rsidP="008B00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i/>
          <w:sz w:val="20"/>
          <w:szCs w:val="20"/>
        </w:rPr>
      </w:pPr>
      <w:r>
        <w:rPr>
          <w:rFonts w:ascii="Cambria" w:hAnsi="Cambria"/>
          <w:b/>
          <w:sz w:val="20"/>
          <w:szCs w:val="20"/>
        </w:rPr>
        <w:tab/>
      </w:r>
      <w:r>
        <w:rPr>
          <w:rFonts w:ascii="Cambria" w:hAnsi="Cambria"/>
          <w:b/>
          <w:sz w:val="20"/>
          <w:szCs w:val="20"/>
        </w:rPr>
        <w:tab/>
      </w:r>
      <w:r w:rsidR="008B0045" w:rsidRPr="00C67574">
        <w:rPr>
          <w:rFonts w:ascii="Cambria" w:hAnsi="Cambria"/>
          <w:b/>
          <w:i/>
          <w:sz w:val="20"/>
          <w:szCs w:val="20"/>
        </w:rPr>
        <w:t>Ratione personae</w:t>
      </w:r>
    </w:p>
    <w:p w14:paraId="782E40F4" w14:textId="3803AD37" w:rsidR="008B0045" w:rsidRPr="007B6477" w:rsidRDefault="008B0045"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t xml:space="preserve">The State contends that the petitioners have articulated generalized claims that go beyond those that specifically relate to the alleged victims (for example references to “the commercial fishing industry” and “the people of Vieques”).  Accordingly, the State argues that such any such generalized claims constitute an </w:t>
      </w:r>
      <w:r w:rsidRPr="008B0045">
        <w:rPr>
          <w:rFonts w:ascii="Cambria" w:hAnsi="Cambria"/>
          <w:i/>
          <w:sz w:val="20"/>
          <w:szCs w:val="20"/>
        </w:rPr>
        <w:t xml:space="preserve">actio </w:t>
      </w:r>
      <w:r w:rsidR="00C743FF" w:rsidRPr="008B0045">
        <w:rPr>
          <w:rFonts w:ascii="Cambria" w:hAnsi="Cambria"/>
          <w:i/>
          <w:sz w:val="20"/>
          <w:szCs w:val="20"/>
        </w:rPr>
        <w:t>popularis</w:t>
      </w:r>
      <w:r w:rsidR="00C743FF" w:rsidRPr="008B0045">
        <w:rPr>
          <w:rFonts w:ascii="Cambria" w:hAnsi="Cambria"/>
          <w:sz w:val="20"/>
          <w:szCs w:val="20"/>
        </w:rPr>
        <w:t xml:space="preserve"> and</w:t>
      </w:r>
      <w:r w:rsidRPr="008B0045">
        <w:rPr>
          <w:rFonts w:ascii="Cambria" w:hAnsi="Cambria"/>
          <w:sz w:val="20"/>
          <w:szCs w:val="20"/>
        </w:rPr>
        <w:t xml:space="preserve"> are therefore outside of the Commission’s competence </w:t>
      </w:r>
      <w:r w:rsidRPr="00F430C6">
        <w:rPr>
          <w:rFonts w:ascii="Cambria" w:hAnsi="Cambria"/>
          <w:i/>
          <w:sz w:val="20"/>
          <w:szCs w:val="20"/>
        </w:rPr>
        <w:t>ratione personae</w:t>
      </w:r>
      <w:r w:rsidRPr="008B0045">
        <w:rPr>
          <w:rFonts w:ascii="Cambria" w:hAnsi="Cambria"/>
          <w:sz w:val="20"/>
          <w:szCs w:val="20"/>
        </w:rPr>
        <w:t>.  For the State, the Commission only has competence to review particularized claims with respect to alleged victims.</w:t>
      </w:r>
    </w:p>
    <w:p w14:paraId="217ED724" w14:textId="77777777" w:rsidR="008B0045" w:rsidRPr="008B0045" w:rsidRDefault="008B0045"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t xml:space="preserve">According to the State, the petitioners have failed to exhaust any domestic remedies to redress their claims.   In this regard, the State contends that the petitioners merely refer to litigation filed by 7,125 residents of under the Federal Tort Claims Act (FTCA) in 2005 (“the Sanchez litigation”).  For the State, on that basis alone, the petition should be deemed inadmissible.  The State further argues the petition does not disclose that the alleged victims participated in the Sanchez litigation or that they lodged their particularized claims against the United States. The State also argues that even if the alleged victims had participated in the Sanchez litigation, the requirement of exhaustion of domestic remedies requires that that individual alleged victims pursue their specific claims under domestic law to address their concerns before invoking the Commission’s authority.   </w:t>
      </w:r>
    </w:p>
    <w:p w14:paraId="1A10355B" w14:textId="77777777" w:rsidR="008B0045" w:rsidRDefault="008B0045"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t xml:space="preserve">The </w:t>
      </w:r>
      <w:r w:rsidR="00045FCE">
        <w:rPr>
          <w:rFonts w:ascii="Cambria" w:hAnsi="Cambria"/>
          <w:sz w:val="20"/>
          <w:szCs w:val="20"/>
        </w:rPr>
        <w:t>State further contends that (a)</w:t>
      </w:r>
      <w:r w:rsidRPr="008B0045">
        <w:rPr>
          <w:rFonts w:ascii="Cambria" w:hAnsi="Cambria"/>
          <w:sz w:val="20"/>
          <w:szCs w:val="20"/>
        </w:rPr>
        <w:t xml:space="preserve"> with respect to claims based on property rights (expropriation of property), the alleged victims  have not pursued or exhausted constitutional/ legal remedies; (b) with respect to claims based on environmental contamination, the alleged victims  have not pursued or exhausted statutory mechanisms for judicial review; and (c) more broadly, the alleged victims  have not pursued or exhausted avenues to challenge U.S. Government action; and (d) with respect to claims based on access to information, the petitioners  have failed to pursue existing mechanisms to receive the information they appear to desire.    Regarding the issue of property, the State contends that if property was taken without just compensation, a remedy was available in the form of claim for compensation (prior to the expiration of the applicable statute of limitations) in </w:t>
      </w:r>
      <w:r w:rsidR="00045FCE">
        <w:rPr>
          <w:rFonts w:ascii="Cambria" w:hAnsi="Cambria"/>
          <w:sz w:val="20"/>
          <w:szCs w:val="20"/>
        </w:rPr>
        <w:t xml:space="preserve">the </w:t>
      </w:r>
      <w:r w:rsidRPr="008B0045">
        <w:rPr>
          <w:rFonts w:ascii="Cambria" w:hAnsi="Cambria"/>
          <w:sz w:val="20"/>
          <w:szCs w:val="20"/>
        </w:rPr>
        <w:t>U.S. courts with jurisdiction over such claims, most likely the Court of Federal Claims.   The State contends that there is no evidence that this remedy was pursued or exhausted.</w:t>
      </w:r>
    </w:p>
    <w:p w14:paraId="7ADB9D27" w14:textId="77777777" w:rsidR="008B0045" w:rsidRPr="008B0045" w:rsidRDefault="008B0045"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t xml:space="preserve">With respect to the environmental claims, the State contends that the CERCLA provides a statutory remedy, though the State acknowledges that the petitioners cannot, at this time, challenge the activities that the Navy is undertaking, because section 113(h) of CERCLA deprives federal courts of jurisdiction to review “challenges to removal or remedial action[s; and that accordingly, the petitioners’ ostensible environmental claims may become ripe under CERCLA once the environmental remediation efforts being conducted by the United States under the CERCLA are complete. </w:t>
      </w:r>
    </w:p>
    <w:p w14:paraId="5628CABE" w14:textId="77777777" w:rsidR="008B0045" w:rsidRDefault="008B0045" w:rsidP="008B0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t>With respect to challenges to U.S government action, the State asserts that The Federal Tort Claims Act (“FTCA”) provides a judicial remedy for personal injury or property damage resulting from negligent government conduct.   According to the State, although the petition asserts that a claim was made under the FTCA, the alleged victims have not established that they were parties to the Sanchez litigation, or that that their individual claims against the United States were pursued under the FTCA.  Accordingly, the State concludes that this remedy under the FTCA was neither pursued nor exhausted by the alleged victims.</w:t>
      </w:r>
    </w:p>
    <w:p w14:paraId="75F6B250" w14:textId="77777777" w:rsidR="003C3887" w:rsidRPr="00D81F64" w:rsidRDefault="008B0045"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045">
        <w:rPr>
          <w:rFonts w:ascii="Cambria" w:hAnsi="Cambria"/>
          <w:sz w:val="20"/>
          <w:szCs w:val="20"/>
        </w:rPr>
        <w:lastRenderedPageBreak/>
        <w:t>Regarding the claim that the State refused to divulge important information concerning its military practices in Vieques, the State asserts that it was open to the petitioners to file a claim under Freedom of Information Act (“FOIA”).   According to the State, there is no indication that Petitioners have pursued and exhausted the mechanisms available under FOIA to seek and obtain the information to which they believe they are entitled.</w:t>
      </w:r>
    </w:p>
    <w:p w14:paraId="1423985B" w14:textId="7E9879E5" w:rsidR="003C3887" w:rsidRPr="008514E5" w:rsidRDefault="00BB4C68" w:rsidP="003C38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rPr>
      </w:pPr>
      <w:r>
        <w:rPr>
          <w:rFonts w:ascii="Cambria" w:hAnsi="Cambria"/>
          <w:b/>
          <w:sz w:val="20"/>
          <w:szCs w:val="20"/>
        </w:rPr>
        <w:tab/>
      </w:r>
      <w:r>
        <w:rPr>
          <w:rFonts w:ascii="Cambria" w:hAnsi="Cambria"/>
          <w:b/>
          <w:sz w:val="20"/>
          <w:szCs w:val="20"/>
        </w:rPr>
        <w:tab/>
      </w:r>
      <w:r w:rsidR="003C3887" w:rsidRPr="008514E5">
        <w:rPr>
          <w:rFonts w:ascii="Cambria" w:hAnsi="Cambria"/>
          <w:b/>
          <w:sz w:val="20"/>
          <w:szCs w:val="20"/>
        </w:rPr>
        <w:t>Dismissal of claims as manifestly groundless</w:t>
      </w:r>
    </w:p>
    <w:p w14:paraId="3498A71D" w14:textId="77777777" w:rsidR="008B0045"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The State argues that the petitioners have failed to establish any facts that might support a claim of violations of the American Declaration.  In this respect the State expressly repudiates the claims made under Articles I (Right to Life, Liberty, and Security of Person), XI (Right to Preservation of Health through Sanitary and Social Measures), VI (Right to Freedom of Expression), XVIII (Right to a fair trial), VIII (Right to residence and movement), and XIV (Right to work and to fair remuneration) of the American Declaration.</w:t>
      </w:r>
    </w:p>
    <w:p w14:paraId="5F4FC505" w14:textId="77777777" w:rsidR="003C3887"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With respect to Article I, the State reiterates that it has conducted extensive efforts to address the issue of contamination. To the extent that contamination in connection with military activity has impacted enjoyment of this right, the State argues that it has been actively engaged in providing a compressive remedy to address this contamination.  In the circumstances, the State concludes that the claims of the petitioners are now moot.</w:t>
      </w:r>
    </w:p>
    <w:p w14:paraId="12464795" w14:textId="77777777" w:rsidR="003C3887"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With respect to Article XI, the State rejects the claims of the petitioners, contending that the State and independent researchers have analyzed whether health on the island is impacted by historic naval activities; and that these studies have shown no causal link.</w:t>
      </w:r>
      <w:r w:rsidRPr="003C3887">
        <w:rPr>
          <w:rFonts w:ascii="Cambria" w:hAnsi="Cambria"/>
          <w:sz w:val="20"/>
          <w:szCs w:val="20"/>
          <w:vertAlign w:val="superscript"/>
        </w:rPr>
        <w:footnoteReference w:id="7"/>
      </w:r>
    </w:p>
    <w:p w14:paraId="2D34CEC9" w14:textId="77777777" w:rsidR="003C3887"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With respect to Article VI, the State argues that the petitioners’ claim that they have been denied access to information about the Navy’s military operations at Vieques is plainly baseless.  In this regard, the State asserts that (a) a vast amount of information is publicly available about the Navy’s cleanup at Vieques, including information about the military munitions used during military operations at Vieques; (b) the Navy engages the public in a manner that exceeds those required by law and regulation and that the Navy has been active in the community, sharing information, and soliciting comment since the remediation began.  The State emphasize</w:t>
      </w:r>
      <w:r>
        <w:rPr>
          <w:rFonts w:ascii="Cambria" w:hAnsi="Cambria"/>
          <w:sz w:val="20"/>
          <w:szCs w:val="20"/>
        </w:rPr>
        <w:t>s</w:t>
      </w:r>
      <w:r w:rsidRPr="003C3887">
        <w:rPr>
          <w:rFonts w:ascii="Cambria" w:hAnsi="Cambria"/>
          <w:sz w:val="20"/>
          <w:szCs w:val="20"/>
        </w:rPr>
        <w:t xml:space="preserve"> that the petitioners’ claim that the Navy “is intentionally withholding information regarding its activities, including the use of depleted uranium,” is simply untrue.</w:t>
      </w:r>
    </w:p>
    <w:p w14:paraId="5DEDBC93" w14:textId="77777777" w:rsidR="003C3887"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With respect to Article XVIII, the State contends that the petitioners have failed to articulate any violation of their right to resort to courts in the United States.  The State further contends that (a) the petition contains no facts to support that alleged victims have pursued or exhausted their domestic remedies or been denied resort to the courts; and (b) there is no indication that alleged victims were the plaintiffs in the Sanchez litigation—thereby compromising the premise of their claim.   As mentioned previously, the State also states that there are administrative and legal remedies are available to Petitioners which they have simply not pursued.</w:t>
      </w:r>
    </w:p>
    <w:p w14:paraId="04683F27" w14:textId="77777777" w:rsidR="003C3887" w:rsidRDefault="003C3887" w:rsidP="003C3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 xml:space="preserve">With respect to Article VIII, the State argues that the allegations contained in this claim are predicated on events which predate the Commission’s competence as to claims brought against the United States.  Accordingly, the State submits that the Commission does not have the competence </w:t>
      </w:r>
      <w:r w:rsidRPr="008514E5">
        <w:rPr>
          <w:rFonts w:ascii="Cambria" w:hAnsi="Cambria"/>
          <w:i/>
          <w:sz w:val="20"/>
          <w:szCs w:val="20"/>
        </w:rPr>
        <w:t xml:space="preserve">rationae temporis </w:t>
      </w:r>
      <w:r w:rsidRPr="003C3887">
        <w:rPr>
          <w:rFonts w:ascii="Cambria" w:hAnsi="Cambria"/>
          <w:sz w:val="20"/>
          <w:szCs w:val="20"/>
        </w:rPr>
        <w:t>to review Petitioner’s claims related to the transfer of land on the island of Vieques.  Further, the State contends that the there is no evidence that alleged victims have been denied the right to fix their residences in the territory of the United States, to move about freely within the United States, or to leave the United States except by their own will.</w:t>
      </w:r>
    </w:p>
    <w:p w14:paraId="2E4B764A" w14:textId="77777777" w:rsidR="00C84D0A" w:rsidRPr="00D81F64" w:rsidRDefault="003C3887"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887">
        <w:rPr>
          <w:rFonts w:ascii="Cambria" w:hAnsi="Cambria"/>
          <w:sz w:val="20"/>
          <w:szCs w:val="20"/>
        </w:rPr>
        <w:t xml:space="preserve">With respect to Article XIV, the State contends the Petition is replete with sweeping generalizations—without substantiation— about how the United States “has interfered with the livelihood of </w:t>
      </w:r>
      <w:r w:rsidRPr="003C3887">
        <w:rPr>
          <w:rFonts w:ascii="Cambria" w:hAnsi="Cambria"/>
          <w:sz w:val="20"/>
          <w:szCs w:val="20"/>
        </w:rPr>
        <w:lastRenderedPageBreak/>
        <w:t>local fishermen” and how the actions of the United States “have resulted in the decimation of Vieques’ commercial fishing industry.  The State argues that respect to the alleged victim Cacimar Zenón, a scuba-diver and fisherman, the petition contains no facts to substantiate a claim that Mr. Zenón has been denied his “right to work, under proper conditions” or to “follow his vocation freely, insofar as conditions of employment permit. The State also asserts that the prevailing facts about Vieques coastal waters sharply refute Petitioner’s unsubstantiated claims. In this regard the State contends that contrary to petitioners’ claims, studies of fish, invertebrates, and sediment by the National Oceanic and Atmospheric Administration (NOAA) have shown no elevated levels of contaminates different from the overall region.</w:t>
      </w:r>
    </w:p>
    <w:p w14:paraId="2005B46D" w14:textId="77777777" w:rsidR="00D81F64" w:rsidRDefault="00F621C3" w:rsidP="00F621C3">
      <w:pPr>
        <w:spacing w:before="240" w:after="240"/>
        <w:ind w:firstLine="720"/>
        <w:jc w:val="both"/>
        <w:rPr>
          <w:rFonts w:asciiTheme="majorHAnsi" w:eastAsia="Cambria" w:hAnsiTheme="majorHAnsi" w:cs="Cambria"/>
          <w:b/>
          <w:bCs/>
          <w:color w:val="000000"/>
          <w:sz w:val="20"/>
          <w:szCs w:val="20"/>
          <w:u w:color="000000"/>
          <w:lang w:eastAsia="es-ES"/>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D81F64">
        <w:rPr>
          <w:rFonts w:asciiTheme="majorHAnsi" w:eastAsia="Cambria" w:hAnsiTheme="majorHAnsi" w:cs="Cambria"/>
          <w:b/>
          <w:bCs/>
          <w:color w:val="000000"/>
          <w:sz w:val="20"/>
          <w:szCs w:val="20"/>
          <w:u w:color="000000"/>
          <w:lang w:eastAsia="es-ES"/>
        </w:rPr>
        <w:t>ANALYSIS ON COMPETENCE</w:t>
      </w:r>
    </w:p>
    <w:p w14:paraId="15E76E46" w14:textId="0965CAB3" w:rsidR="00D81F64" w:rsidRPr="00814711" w:rsidRDefault="00D81F64"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lang w:val="en"/>
        </w:rPr>
        <w:t xml:space="preserve">As a preliminary consideration, the Commission notes that State disputes the jurisdiction of the IACHR </w:t>
      </w:r>
      <w:r w:rsidRPr="008514E5">
        <w:rPr>
          <w:rFonts w:ascii="Cambria" w:hAnsi="Cambria"/>
          <w:i/>
          <w:sz w:val="20"/>
          <w:szCs w:val="20"/>
          <w:lang w:val="en"/>
        </w:rPr>
        <w:t>ratione temporis, ratione materiae</w:t>
      </w:r>
      <w:r w:rsidRPr="00597919">
        <w:rPr>
          <w:rFonts w:ascii="Cambria" w:hAnsi="Cambria"/>
          <w:i/>
          <w:sz w:val="20"/>
          <w:szCs w:val="20"/>
          <w:lang w:val="en"/>
        </w:rPr>
        <w:t xml:space="preserve"> </w:t>
      </w:r>
      <w:r w:rsidRPr="008514E5">
        <w:rPr>
          <w:rFonts w:ascii="Cambria" w:hAnsi="Cambria"/>
          <w:sz w:val="20"/>
          <w:szCs w:val="20"/>
          <w:lang w:val="en"/>
        </w:rPr>
        <w:t>and</w:t>
      </w:r>
      <w:r w:rsidRPr="00597919">
        <w:rPr>
          <w:rFonts w:ascii="Cambria" w:hAnsi="Cambria"/>
          <w:i/>
          <w:sz w:val="20"/>
          <w:szCs w:val="20"/>
          <w:lang w:val="en"/>
        </w:rPr>
        <w:t xml:space="preserve"> ratione personae</w:t>
      </w:r>
      <w:r w:rsidRPr="00597919">
        <w:rPr>
          <w:rFonts w:ascii="Cambria" w:hAnsi="Cambria"/>
          <w:sz w:val="20"/>
          <w:szCs w:val="20"/>
          <w:lang w:val="en"/>
        </w:rPr>
        <w:t xml:space="preserve"> to adjudicate the claims of the petitioners.</w:t>
      </w:r>
    </w:p>
    <w:p w14:paraId="6A7E4181" w14:textId="77777777" w:rsidR="00D81F64" w:rsidRPr="00814711" w:rsidRDefault="00D81F64"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t xml:space="preserve">Regarding the issue of </w:t>
      </w:r>
      <w:r w:rsidRPr="008514E5">
        <w:rPr>
          <w:rFonts w:ascii="Cambria" w:hAnsi="Cambria"/>
          <w:i/>
          <w:sz w:val="20"/>
          <w:szCs w:val="20"/>
        </w:rPr>
        <w:t>ratione temporis</w:t>
      </w:r>
      <w:r w:rsidRPr="00597919">
        <w:rPr>
          <w:rFonts w:ascii="Cambria" w:hAnsi="Cambria"/>
          <w:sz w:val="20"/>
          <w:szCs w:val="20"/>
        </w:rPr>
        <w:t xml:space="preserve">, the State argues that the acquisition of property in Vieques took place in 1941-1943 in Vieques which was prior to the State ratification of the OAS Charter in 1951. The State contends that this was a discrete act, and not a continuing act; and that the events during and after the acquisition of land on Vieques are outside the competence </w:t>
      </w:r>
      <w:r w:rsidRPr="008514E5">
        <w:rPr>
          <w:rFonts w:ascii="Cambria" w:hAnsi="Cambria"/>
          <w:i/>
          <w:sz w:val="20"/>
          <w:szCs w:val="20"/>
        </w:rPr>
        <w:t>ratione temporis</w:t>
      </w:r>
      <w:r w:rsidRPr="00597919">
        <w:rPr>
          <w:rFonts w:ascii="Cambria" w:hAnsi="Cambria"/>
          <w:sz w:val="20"/>
          <w:szCs w:val="20"/>
        </w:rPr>
        <w:t xml:space="preserve"> of the Commission.   While the Commission considers that it lacks jurisdiction </w:t>
      </w:r>
      <w:r w:rsidRPr="008514E5">
        <w:rPr>
          <w:rFonts w:ascii="Cambria" w:hAnsi="Cambria"/>
          <w:i/>
          <w:sz w:val="20"/>
          <w:szCs w:val="20"/>
        </w:rPr>
        <w:t>ratione temporis</w:t>
      </w:r>
      <w:r w:rsidRPr="00597919">
        <w:rPr>
          <w:rFonts w:ascii="Cambria" w:hAnsi="Cambria"/>
          <w:sz w:val="20"/>
          <w:szCs w:val="20"/>
        </w:rPr>
        <w:t xml:space="preserve"> that occurred prior to 1951, the allegations presented by the petitioners relate to events that took place after 1951 as a result of the alleged military activities of the State.  The Commission accordingly concludes that it does have jurisdiction </w:t>
      </w:r>
      <w:r w:rsidRPr="008514E5">
        <w:rPr>
          <w:rFonts w:ascii="Cambria" w:hAnsi="Cambria"/>
          <w:i/>
          <w:sz w:val="20"/>
          <w:szCs w:val="20"/>
        </w:rPr>
        <w:t xml:space="preserve">ratione temporis </w:t>
      </w:r>
      <w:r w:rsidRPr="00597919">
        <w:rPr>
          <w:rFonts w:ascii="Cambria" w:hAnsi="Cambria"/>
          <w:sz w:val="20"/>
          <w:szCs w:val="20"/>
        </w:rPr>
        <w:t>as it relates to those allegations.   The Commission notes that the State cites the Commission's decision of Isamu Carlos Shibayama et al</w:t>
      </w:r>
      <w:r>
        <w:rPr>
          <w:rStyle w:val="FootnoteReference"/>
          <w:rFonts w:ascii="Cambria" w:hAnsi="Cambria"/>
          <w:sz w:val="20"/>
          <w:szCs w:val="20"/>
        </w:rPr>
        <w:footnoteReference w:id="8"/>
      </w:r>
      <w:r w:rsidRPr="00597919">
        <w:rPr>
          <w:rFonts w:ascii="Cambria" w:hAnsi="Cambria"/>
          <w:sz w:val="20"/>
          <w:szCs w:val="20"/>
        </w:rPr>
        <w:t xml:space="preserve"> in support of its position.  However, the Commission notes that contrary to the State's contention, the Commission did in fact find that that the claims of the petitioners’ claims did fall within the jurisdiction </w:t>
      </w:r>
      <w:r w:rsidRPr="008514E5">
        <w:rPr>
          <w:rFonts w:ascii="Cambria" w:hAnsi="Cambria"/>
          <w:i/>
          <w:sz w:val="20"/>
          <w:szCs w:val="20"/>
        </w:rPr>
        <w:t>ratione temporis</w:t>
      </w:r>
      <w:r w:rsidRPr="00597919">
        <w:rPr>
          <w:rFonts w:ascii="Cambria" w:hAnsi="Cambria"/>
          <w:sz w:val="20"/>
          <w:szCs w:val="20"/>
        </w:rPr>
        <w:t xml:space="preserve"> of the Commission.</w:t>
      </w:r>
    </w:p>
    <w:p w14:paraId="08A3D60C" w14:textId="77777777" w:rsidR="00D81F64" w:rsidRPr="00814711" w:rsidRDefault="00D81F64"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t xml:space="preserve">Regarding the issue of </w:t>
      </w:r>
      <w:r w:rsidRPr="008514E5">
        <w:rPr>
          <w:rFonts w:ascii="Cambria" w:hAnsi="Cambria"/>
          <w:i/>
          <w:sz w:val="20"/>
          <w:szCs w:val="20"/>
        </w:rPr>
        <w:t>ratione materiae</w:t>
      </w:r>
      <w:r w:rsidRPr="00597919">
        <w:rPr>
          <w:rFonts w:ascii="Cambria" w:hAnsi="Cambria"/>
          <w:sz w:val="20"/>
          <w:szCs w:val="20"/>
        </w:rPr>
        <w:t xml:space="preserve"> issue, the record demonstrates that the petitioners have relied on other international instruments to buttress their claims under American Declaration. It is clear from the record that the petitioners have grounded their claims in the American Declaration and not these other international instruments.  The Commission has no jurisdiction to pronounce on these other instruments, but it may take them into account in interpreting the American Declaration.  In the circumstances, the Commission considers that it does have jurisdiction </w:t>
      </w:r>
      <w:r w:rsidRPr="008514E5">
        <w:rPr>
          <w:rFonts w:ascii="Cambria" w:hAnsi="Cambria"/>
          <w:i/>
          <w:sz w:val="20"/>
          <w:szCs w:val="20"/>
        </w:rPr>
        <w:t>ratione materiae</w:t>
      </w:r>
      <w:r w:rsidRPr="00597919">
        <w:rPr>
          <w:rFonts w:ascii="Cambria" w:hAnsi="Cambria"/>
          <w:sz w:val="20"/>
          <w:szCs w:val="20"/>
        </w:rPr>
        <w:t xml:space="preserve"> regarding the claims of the petitioners made under the American Declaration. </w:t>
      </w:r>
    </w:p>
    <w:p w14:paraId="10573838" w14:textId="77777777" w:rsidR="00D81F64" w:rsidRPr="00D81F64" w:rsidRDefault="00D81F64"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t xml:space="preserve">With respect to the issue of </w:t>
      </w:r>
      <w:r w:rsidRPr="008514E5">
        <w:rPr>
          <w:rFonts w:ascii="Cambria" w:hAnsi="Cambria"/>
          <w:i/>
          <w:sz w:val="20"/>
          <w:szCs w:val="20"/>
        </w:rPr>
        <w:t>ratione personae</w:t>
      </w:r>
      <w:r w:rsidRPr="00597919">
        <w:rPr>
          <w:rFonts w:ascii="Cambria" w:hAnsi="Cambria"/>
          <w:sz w:val="20"/>
          <w:szCs w:val="20"/>
        </w:rPr>
        <w:t xml:space="preserve">, the State contends that the petitioners have articulated generalized claims that go beyond those that specifically relate to the alleged victims.  While the Commission acknowledges that the petitioners have used general information to buttress its case, they have done so while specifying particular alleged victims.  These alleged victims are all natural persons and therefore they do fall under the jurisdiction of the IACHR </w:t>
      </w:r>
      <w:r w:rsidRPr="008514E5">
        <w:rPr>
          <w:rFonts w:ascii="Cambria" w:hAnsi="Cambria"/>
          <w:i/>
          <w:sz w:val="20"/>
          <w:szCs w:val="20"/>
        </w:rPr>
        <w:t>ratione personae</w:t>
      </w:r>
      <w:r w:rsidRPr="00597919">
        <w:rPr>
          <w:rFonts w:ascii="Cambria" w:hAnsi="Cambria"/>
          <w:sz w:val="20"/>
          <w:szCs w:val="20"/>
        </w:rPr>
        <w:t>.</w:t>
      </w:r>
    </w:p>
    <w:p w14:paraId="7D14761C" w14:textId="77777777" w:rsidR="00F621C3" w:rsidRPr="00814711" w:rsidRDefault="00D81F64" w:rsidP="00C67574">
      <w:pPr>
        <w:spacing w:before="240" w:after="240"/>
        <w:ind w:left="1440" w:hanging="720"/>
        <w:jc w:val="both"/>
        <w:rPr>
          <w:rFonts w:ascii="Cambria" w:hAnsi="Cambria"/>
          <w:sz w:val="20"/>
          <w:szCs w:val="20"/>
        </w:rPr>
      </w:pPr>
      <w:r>
        <w:rPr>
          <w:rFonts w:asciiTheme="majorHAnsi" w:hAnsiTheme="majorHAnsi"/>
          <w:b/>
          <w:bCs/>
          <w:sz w:val="20"/>
          <w:szCs w:val="20"/>
        </w:rPr>
        <w:t xml:space="preserve">VII. </w:t>
      </w:r>
      <w:r>
        <w:rPr>
          <w:rFonts w:asciiTheme="majorHAnsi" w:hAnsiTheme="majorHAnsi"/>
          <w:b/>
          <w:bCs/>
          <w:sz w:val="20"/>
          <w:szCs w:val="20"/>
        </w:rPr>
        <w:tab/>
      </w:r>
      <w:r w:rsidR="001F1902" w:rsidRPr="00814711">
        <w:rPr>
          <w:rFonts w:asciiTheme="majorHAnsi" w:hAnsiTheme="majorHAnsi"/>
          <w:b/>
          <w:bCs/>
          <w:sz w:val="20"/>
          <w:szCs w:val="20"/>
        </w:rPr>
        <w:t xml:space="preserve">ANALYSIS OF </w:t>
      </w:r>
      <w:r w:rsidR="00F621C3" w:rsidRPr="00814711">
        <w:rPr>
          <w:rFonts w:asciiTheme="majorHAnsi" w:hAnsiTheme="majorHAnsi"/>
          <w:b/>
          <w:sz w:val="20"/>
          <w:szCs w:val="20"/>
        </w:rPr>
        <w:t>EXHAUSTION OF DOMESTIC REMEDIES AND TIMELINESS OF THE PETITION</w:t>
      </w:r>
      <w:r w:rsidR="00F621C3" w:rsidRPr="00814711">
        <w:rPr>
          <w:rFonts w:asciiTheme="majorHAnsi" w:eastAsia="Cambria" w:hAnsiTheme="majorHAnsi" w:cs="Cambria"/>
          <w:b/>
          <w:bCs/>
          <w:color w:val="000000"/>
          <w:sz w:val="20"/>
          <w:szCs w:val="20"/>
          <w:u w:color="000000"/>
          <w:lang w:eastAsia="es-ES"/>
        </w:rPr>
        <w:t xml:space="preserve"> </w:t>
      </w:r>
    </w:p>
    <w:p w14:paraId="1504121A" w14:textId="31AE8AAF" w:rsidR="00C84D0A" w:rsidRPr="00814711" w:rsidRDefault="00705640" w:rsidP="00B054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5640">
        <w:rPr>
          <w:rFonts w:ascii="Cambria" w:hAnsi="Cambria"/>
          <w:sz w:val="20"/>
          <w:szCs w:val="20"/>
        </w:rPr>
        <w:t>The Commission notes that the parties are at variance on the issue of exhaustion of domestic remedies. The principal point of contention revolves around the Sanchez litigation of 2005. This litigation was initiated to seek relief against the State for illegal use of explosives, ordnance and contaminants on the island over several decades, which caused “chronic, long term, negligent and/or deliberate exposure to toxic dust and contamination, hazardous waste and environmental damage.</w:t>
      </w:r>
      <w:r>
        <w:rPr>
          <w:rFonts w:ascii="Cambria" w:hAnsi="Cambria"/>
          <w:sz w:val="20"/>
          <w:szCs w:val="20"/>
        </w:rPr>
        <w:t xml:space="preserve"> </w:t>
      </w:r>
      <w:r w:rsidRPr="00705640">
        <w:rPr>
          <w:rFonts w:ascii="Cambria" w:hAnsi="Cambria"/>
          <w:sz w:val="20"/>
          <w:szCs w:val="20"/>
        </w:rPr>
        <w:t xml:space="preserve"> According to the State, there is no indication that the petitioners were part of this litigation, whereas the petitioners state the contrary.  From the record, the Commission notes that the petitioners have affirmed that they were part of this litigation.  Accordingly, the Commission considers that as it relates to the claims of the petitioners relating to alleged </w:t>
      </w:r>
      <w:r w:rsidR="00BB4C68" w:rsidRPr="00705640">
        <w:rPr>
          <w:rFonts w:ascii="Cambria" w:hAnsi="Cambria"/>
          <w:sz w:val="20"/>
          <w:szCs w:val="20"/>
        </w:rPr>
        <w:t>long-term</w:t>
      </w:r>
      <w:r w:rsidRPr="00705640">
        <w:rPr>
          <w:rFonts w:ascii="Cambria" w:hAnsi="Cambria"/>
          <w:sz w:val="20"/>
          <w:szCs w:val="20"/>
        </w:rPr>
        <w:t xml:space="preserve"> health and environmental consequences on the alleged victims, that the petitioners did exhaust domestic remedies on </w:t>
      </w:r>
      <w:r w:rsidRPr="00705640">
        <w:rPr>
          <w:rFonts w:ascii="Cambria" w:hAnsi="Cambria"/>
          <w:sz w:val="20"/>
          <w:szCs w:val="20"/>
        </w:rPr>
        <w:lastRenderedPageBreak/>
        <w:t xml:space="preserve">March 25, 2013, when the US Supreme Court declined to address the claim. </w:t>
      </w:r>
      <w:r w:rsidR="00B05448" w:rsidRPr="00B05448">
        <w:rPr>
          <w:rFonts w:ascii="Cambria" w:hAnsi="Cambria"/>
          <w:sz w:val="20"/>
          <w:szCs w:val="20"/>
        </w:rPr>
        <w:t>The State does not dispute that a lawsuit under the Federal Torts Claims Act would be a suitable and effective remedy for redressing the petitioners' claims. The State, however, contends that the petitioners have no</w:t>
      </w:r>
      <w:r w:rsidR="00BB4C68">
        <w:rPr>
          <w:rFonts w:ascii="Cambria" w:hAnsi="Cambria"/>
          <w:sz w:val="20"/>
          <w:szCs w:val="20"/>
        </w:rPr>
        <w:t>t</w:t>
      </w:r>
      <w:r w:rsidR="00B05448" w:rsidRPr="00B05448">
        <w:rPr>
          <w:rFonts w:ascii="Cambria" w:hAnsi="Cambria"/>
          <w:sz w:val="20"/>
          <w:szCs w:val="20"/>
        </w:rPr>
        <w:t xml:space="preserve"> demonstrated that they made a claim under the Federal Torts Claim Act.  The petitioners, however, contend that they were part of a group of more than 7000 persons who filed a claim under the Fede</w:t>
      </w:r>
      <w:r w:rsidR="00B05448">
        <w:rPr>
          <w:rFonts w:ascii="Cambria" w:hAnsi="Cambria"/>
          <w:sz w:val="20"/>
          <w:szCs w:val="20"/>
        </w:rPr>
        <w:t>ral Torts Claims Act</w:t>
      </w:r>
      <w:r w:rsidR="00B05448" w:rsidRPr="00B05448">
        <w:rPr>
          <w:rFonts w:ascii="Cambria" w:hAnsi="Cambria"/>
          <w:sz w:val="20"/>
          <w:szCs w:val="20"/>
        </w:rPr>
        <w:t xml:space="preserve">. </w:t>
      </w:r>
      <w:r w:rsidRPr="00705640">
        <w:rPr>
          <w:rFonts w:ascii="Cambria" w:hAnsi="Cambria"/>
          <w:sz w:val="20"/>
          <w:szCs w:val="20"/>
        </w:rPr>
        <w:t xml:space="preserve"> </w:t>
      </w:r>
    </w:p>
    <w:p w14:paraId="583721B9" w14:textId="3872FF3C" w:rsidR="00F621C3" w:rsidRDefault="00597919" w:rsidP="005979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t xml:space="preserve">The State also claims that the petitioners failed to invoke judicial remedies under CERCLA. </w:t>
      </w:r>
      <w:r w:rsidR="00B05448" w:rsidRPr="00B05448">
        <w:rPr>
          <w:rFonts w:ascii="Cambria" w:hAnsi="Cambria"/>
          <w:sz w:val="20"/>
          <w:szCs w:val="20"/>
        </w:rPr>
        <w:t>Whenever a State alleges that a petitioner has not exhausted domestic remedies, it has the burden of identifying the remedies to be exhausted and demonstrating that the remedies that have not been exhausted are “appropriate” for redressing the alleged violation—in other words, that the function of those remedies within the national legal system is suitable for protecting the legal right infringed</w:t>
      </w:r>
      <w:r w:rsidR="00B05448">
        <w:rPr>
          <w:rStyle w:val="FootnoteReference"/>
          <w:rFonts w:ascii="Cambria" w:hAnsi="Cambria"/>
          <w:sz w:val="20"/>
          <w:szCs w:val="20"/>
        </w:rPr>
        <w:footnoteReference w:id="9"/>
      </w:r>
      <w:r w:rsidR="00B05448">
        <w:rPr>
          <w:rFonts w:ascii="Cambria" w:hAnsi="Cambria"/>
          <w:sz w:val="20"/>
          <w:szCs w:val="20"/>
        </w:rPr>
        <w:t xml:space="preserve">.  </w:t>
      </w:r>
      <w:r w:rsidRPr="00597919">
        <w:rPr>
          <w:rFonts w:ascii="Cambria" w:hAnsi="Cambria"/>
          <w:sz w:val="20"/>
          <w:szCs w:val="20"/>
        </w:rPr>
        <w:t xml:space="preserve">However, the Commission notes that (a) this remedy relates only to the issue of clean-up operations (as opposed to the claims of long term impact on health and environment of the alleged victims); and (b) that according to the State, this remedy would not generally be available until the clean-up operations are complete. </w:t>
      </w:r>
      <w:r w:rsidR="00B05448">
        <w:rPr>
          <w:rFonts w:ascii="Cambria" w:hAnsi="Cambria"/>
          <w:sz w:val="20"/>
          <w:szCs w:val="20"/>
        </w:rPr>
        <w:t xml:space="preserve"> The Commission considers that the State has not demonstrated how or why </w:t>
      </w:r>
      <w:r w:rsidR="00B53504">
        <w:rPr>
          <w:rFonts w:ascii="Cambria" w:hAnsi="Cambria"/>
          <w:sz w:val="20"/>
          <w:szCs w:val="20"/>
        </w:rPr>
        <w:t>this said</w:t>
      </w:r>
      <w:r w:rsidR="00B05448">
        <w:rPr>
          <w:rFonts w:ascii="Cambria" w:hAnsi="Cambria"/>
          <w:sz w:val="20"/>
          <w:szCs w:val="20"/>
        </w:rPr>
        <w:t xml:space="preserve"> remedy would be</w:t>
      </w:r>
      <w:r w:rsidR="00B05448" w:rsidRPr="00B05448">
        <w:rPr>
          <w:rFonts w:ascii="Cambria" w:hAnsi="Cambria"/>
          <w:sz w:val="20"/>
          <w:szCs w:val="20"/>
        </w:rPr>
        <w:t xml:space="preserve"> effective</w:t>
      </w:r>
      <w:r w:rsidR="00B53504">
        <w:rPr>
          <w:rFonts w:ascii="Cambria" w:hAnsi="Cambria"/>
          <w:sz w:val="20"/>
          <w:szCs w:val="20"/>
        </w:rPr>
        <w:t>, and</w:t>
      </w:r>
      <w:r w:rsidR="00B05448">
        <w:rPr>
          <w:rFonts w:ascii="Cambria" w:hAnsi="Cambria"/>
          <w:sz w:val="20"/>
          <w:szCs w:val="20"/>
        </w:rPr>
        <w:t xml:space="preserve"> in fact, has conceded that at this stage, the remedy would not be effective in redressing the petitioners’ claims. </w:t>
      </w:r>
      <w:r w:rsidRPr="00597919">
        <w:rPr>
          <w:rFonts w:ascii="Cambria" w:hAnsi="Cambria"/>
          <w:sz w:val="20"/>
          <w:szCs w:val="20"/>
        </w:rPr>
        <w:t xml:space="preserve">In the circumstances, the Commission considers that this would be an ineffective remedy that the petitioners would not be obliged to initiate or exhaust. </w:t>
      </w:r>
      <w:r w:rsidR="00B53504">
        <w:rPr>
          <w:rFonts w:ascii="Cambria" w:hAnsi="Cambria"/>
          <w:sz w:val="20"/>
          <w:szCs w:val="20"/>
        </w:rPr>
        <w:t xml:space="preserve">  In any event, t</w:t>
      </w:r>
      <w:r w:rsidR="00B53504" w:rsidRPr="00B53504">
        <w:rPr>
          <w:rFonts w:ascii="Cambria" w:hAnsi="Cambria"/>
          <w:sz w:val="20"/>
          <w:szCs w:val="20"/>
        </w:rPr>
        <w:t>he IACHR has established that the requirement to exhaust all domestic remedies does not necessarily mean that alleged victims are obligated to exhaust all remedies at their disposal. If an alleged victim pursued the matter through one of the valid and appropriate options in accordance with the domestic legal system, and the State had the opportunity to remedy the matter in its jurisdiction, the objective of international law has been achieved</w:t>
      </w:r>
      <w:r w:rsidR="00B53504">
        <w:rPr>
          <w:rFonts w:ascii="Cambria" w:hAnsi="Cambria"/>
          <w:sz w:val="20"/>
          <w:szCs w:val="20"/>
        </w:rPr>
        <w:t>.</w:t>
      </w:r>
      <w:r w:rsidR="00B53504">
        <w:rPr>
          <w:rStyle w:val="FootnoteReference"/>
          <w:rFonts w:ascii="Cambria" w:hAnsi="Cambria"/>
          <w:sz w:val="20"/>
          <w:szCs w:val="20"/>
        </w:rPr>
        <w:footnoteReference w:id="10"/>
      </w:r>
    </w:p>
    <w:p w14:paraId="56158B79" w14:textId="3ADF245B" w:rsidR="00597919" w:rsidRDefault="00597919" w:rsidP="00324B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66A6C">
        <w:rPr>
          <w:rFonts w:ascii="Cambria" w:hAnsi="Cambria"/>
          <w:sz w:val="20"/>
          <w:szCs w:val="20"/>
        </w:rPr>
        <w:t xml:space="preserve">With respect to the claim of the petitioners regarding the withholding of information by the State, the Commission notes that the petitioners have not denied the State's contention that they failed to avail themselves of a request under the Freedom of Information Act (FOIA).  </w:t>
      </w:r>
      <w:r w:rsidR="00324BCF" w:rsidRPr="008D14AA">
        <w:rPr>
          <w:rFonts w:ascii="Cambria" w:hAnsi="Cambria"/>
          <w:sz w:val="20"/>
          <w:szCs w:val="20"/>
        </w:rPr>
        <w:t xml:space="preserve">However, the so called "obligation of active transparency" imposes on the State the obligation to provide the necessary information for individuals to be able to exercise other rights, and this is particularly relevant in relation to environmental issues. This information must be complete, understandable, in an accessible language and updated. </w:t>
      </w:r>
      <w:r w:rsidR="00926808">
        <w:rPr>
          <w:rFonts w:ascii="Cambria" w:hAnsi="Cambria"/>
          <w:sz w:val="20"/>
          <w:szCs w:val="20"/>
        </w:rPr>
        <w:t xml:space="preserve"> However, the Commission notes that </w:t>
      </w:r>
      <w:r w:rsidR="00BB4C68">
        <w:rPr>
          <w:rFonts w:ascii="Cambria" w:hAnsi="Cambria"/>
          <w:sz w:val="20"/>
          <w:szCs w:val="20"/>
        </w:rPr>
        <w:t>the State</w:t>
      </w:r>
      <w:r w:rsidR="000D18B6">
        <w:rPr>
          <w:rFonts w:ascii="Cambria" w:hAnsi="Cambria"/>
          <w:sz w:val="20"/>
          <w:szCs w:val="20"/>
        </w:rPr>
        <w:t xml:space="preserve"> has already acknowledged the suitability and effectiveness of the judicial remedies pursued by the petitioners, which would incorporate the issue of damage or injury caused by explosives and toxic chemicals.   Accordingly, the Commission does not consider it necessary for the petitioners to exhaust this remedy.</w:t>
      </w:r>
    </w:p>
    <w:p w14:paraId="12FA16F3" w14:textId="25E795AD" w:rsidR="000D18B6" w:rsidRPr="000D18B6" w:rsidRDefault="000D18B6" w:rsidP="000D18B6">
      <w:pPr>
        <w:pStyle w:val="ListParagraph"/>
        <w:numPr>
          <w:ilvl w:val="0"/>
          <w:numId w:val="103"/>
        </w:numPr>
        <w:rPr>
          <w:rFonts w:eastAsia="Arial Unicode MS" w:cs="Times New Roman"/>
          <w:color w:val="auto"/>
          <w:sz w:val="20"/>
          <w:szCs w:val="20"/>
          <w:lang w:eastAsia="en-US"/>
        </w:rPr>
      </w:pPr>
      <w:r w:rsidRPr="000D18B6">
        <w:rPr>
          <w:sz w:val="20"/>
          <w:szCs w:val="20"/>
        </w:rPr>
        <w:t xml:space="preserve">Having regard for the foregoing, </w:t>
      </w:r>
      <w:r>
        <w:rPr>
          <w:rFonts w:eastAsia="Arial Unicode MS" w:cs="Times New Roman"/>
          <w:color w:val="auto"/>
          <w:sz w:val="20"/>
          <w:szCs w:val="20"/>
          <w:lang w:eastAsia="en-US"/>
        </w:rPr>
        <w:t>t</w:t>
      </w:r>
      <w:r w:rsidRPr="000D18B6">
        <w:rPr>
          <w:rFonts w:eastAsia="Arial Unicode MS" w:cs="Times New Roman"/>
          <w:color w:val="auto"/>
          <w:sz w:val="20"/>
          <w:szCs w:val="20"/>
          <w:lang w:eastAsia="en-US"/>
        </w:rPr>
        <w:t xml:space="preserve">he Commission therefore considers that the final judicial decision was issued on March 25, </w:t>
      </w:r>
      <w:r w:rsidR="00C743FF" w:rsidRPr="000D18B6">
        <w:rPr>
          <w:rFonts w:eastAsia="Arial Unicode MS" w:cs="Times New Roman"/>
          <w:color w:val="auto"/>
          <w:sz w:val="20"/>
          <w:szCs w:val="20"/>
          <w:lang w:eastAsia="en-US"/>
        </w:rPr>
        <w:t>2013,</w:t>
      </w:r>
      <w:r w:rsidRPr="000D18B6">
        <w:rPr>
          <w:rFonts w:eastAsia="Arial Unicode MS" w:cs="Times New Roman"/>
          <w:color w:val="auto"/>
          <w:sz w:val="20"/>
          <w:szCs w:val="20"/>
          <w:lang w:eastAsia="en-US"/>
        </w:rPr>
        <w:t xml:space="preserve"> and that the petition to the IACHR was submitted on Sept 23, 2013. Accordingly, the Commission deems that the petition was submitted within the six-month deadline prescribed by Article 32.1 of the Com</w:t>
      </w:r>
      <w:r w:rsidR="000E0A43">
        <w:rPr>
          <w:rFonts w:eastAsia="Arial Unicode MS" w:cs="Times New Roman"/>
          <w:color w:val="auto"/>
          <w:sz w:val="20"/>
          <w:szCs w:val="20"/>
          <w:lang w:eastAsia="en-US"/>
        </w:rPr>
        <w:t>mission’s Rules of Procedure.</w:t>
      </w:r>
    </w:p>
    <w:p w14:paraId="139495EC" w14:textId="689F525C"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00D81F64">
        <w:rPr>
          <w:rFonts w:asciiTheme="majorHAnsi" w:hAnsiTheme="majorHAnsi"/>
          <w:b/>
          <w:bCs/>
          <w:sz w:val="20"/>
          <w:szCs w:val="20"/>
        </w:rPr>
        <w:t>I</w:t>
      </w:r>
      <w:r w:rsidRPr="00814711">
        <w:rPr>
          <w:rFonts w:asciiTheme="majorHAnsi" w:hAnsiTheme="majorHAnsi"/>
          <w:b/>
          <w:bCs/>
          <w:sz w:val="20"/>
          <w:szCs w:val="20"/>
        </w:rPr>
        <w:t>.</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464846F7" w14:textId="77777777" w:rsidR="00597919" w:rsidRDefault="00597919" w:rsidP="00D81F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lang w:val="en"/>
        </w:rPr>
        <w:t>The claims of the petitioners relate primarily to alleged long term health and environmental consequences on the alleged victims, as a result of military practices (involving toxic chemicals and warfare) of the United States Navy.</w:t>
      </w:r>
      <w:r>
        <w:rPr>
          <w:rFonts w:ascii="Cambria" w:hAnsi="Cambria"/>
          <w:sz w:val="20"/>
          <w:szCs w:val="20"/>
          <w:lang w:val="en"/>
        </w:rPr>
        <w:t xml:space="preserve">  </w:t>
      </w:r>
    </w:p>
    <w:p w14:paraId="5C72171F" w14:textId="53DAE597" w:rsidR="005325E9" w:rsidRDefault="00597919" w:rsidP="004F6D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t>In view of these considerations and after examining the elements of fact and law presented by the parties, the Commission considers that most of the claims of the petitioners are not manifestly unfounded and if corroborated could characterize violations of (a) Articles I</w:t>
      </w:r>
      <w:r w:rsidR="007351B7">
        <w:rPr>
          <w:rFonts w:ascii="Cambria" w:hAnsi="Cambria"/>
          <w:sz w:val="20"/>
          <w:szCs w:val="20"/>
        </w:rPr>
        <w:t xml:space="preserve"> </w:t>
      </w:r>
      <w:r w:rsidR="007351B7" w:rsidRPr="007351B7">
        <w:rPr>
          <w:rFonts w:ascii="Cambria" w:hAnsi="Cambria"/>
          <w:sz w:val="20"/>
          <w:szCs w:val="20"/>
        </w:rPr>
        <w:t>(Right to life, liberty and personal security)</w:t>
      </w:r>
      <w:r w:rsidRPr="00597919">
        <w:rPr>
          <w:rFonts w:ascii="Cambria" w:hAnsi="Cambria"/>
          <w:sz w:val="20"/>
          <w:szCs w:val="20"/>
        </w:rPr>
        <w:t>, VI</w:t>
      </w:r>
      <w:r w:rsidR="007351B7">
        <w:rPr>
          <w:rFonts w:ascii="Cambria" w:hAnsi="Cambria"/>
          <w:sz w:val="20"/>
          <w:szCs w:val="20"/>
        </w:rPr>
        <w:t xml:space="preserve"> (</w:t>
      </w:r>
      <w:r w:rsidR="007351B7" w:rsidRPr="007351B7">
        <w:rPr>
          <w:rFonts w:ascii="Cambria" w:hAnsi="Cambria"/>
          <w:sz w:val="20"/>
          <w:szCs w:val="20"/>
        </w:rPr>
        <w:t>Right to a f</w:t>
      </w:r>
      <w:r w:rsidR="007351B7">
        <w:rPr>
          <w:rFonts w:ascii="Cambria" w:hAnsi="Cambria"/>
          <w:sz w:val="20"/>
          <w:szCs w:val="20"/>
        </w:rPr>
        <w:t>amily and to protection thereof)</w:t>
      </w:r>
      <w:r w:rsidRPr="00597919">
        <w:rPr>
          <w:rFonts w:ascii="Cambria" w:hAnsi="Cambria"/>
          <w:sz w:val="20"/>
          <w:szCs w:val="20"/>
        </w:rPr>
        <w:t>, VII</w:t>
      </w:r>
      <w:r w:rsidR="007351B7">
        <w:rPr>
          <w:rFonts w:ascii="Cambria" w:hAnsi="Cambria"/>
          <w:sz w:val="20"/>
          <w:szCs w:val="20"/>
        </w:rPr>
        <w:t xml:space="preserve"> </w:t>
      </w:r>
      <w:r w:rsidR="007351B7" w:rsidRPr="007351B7">
        <w:rPr>
          <w:rFonts w:ascii="Cambria" w:hAnsi="Cambria"/>
          <w:sz w:val="20"/>
          <w:szCs w:val="20"/>
        </w:rPr>
        <w:t>(Right to protection for mothers and children.)</w:t>
      </w:r>
      <w:r w:rsidRPr="00597919">
        <w:rPr>
          <w:rFonts w:ascii="Cambria" w:hAnsi="Cambria"/>
          <w:sz w:val="20"/>
          <w:szCs w:val="20"/>
        </w:rPr>
        <w:t>, XI</w:t>
      </w:r>
      <w:r w:rsidR="007351B7" w:rsidRPr="007351B7">
        <w:t xml:space="preserve"> </w:t>
      </w:r>
      <w:r w:rsidR="007351B7" w:rsidRPr="007351B7">
        <w:rPr>
          <w:rFonts w:ascii="Cambria" w:hAnsi="Cambria"/>
          <w:sz w:val="20"/>
          <w:szCs w:val="20"/>
        </w:rPr>
        <w:t>(Right to the</w:t>
      </w:r>
      <w:r w:rsidR="004F6D8F">
        <w:rPr>
          <w:rFonts w:ascii="Cambria" w:hAnsi="Cambria"/>
          <w:sz w:val="20"/>
          <w:szCs w:val="20"/>
        </w:rPr>
        <w:t xml:space="preserve"> </w:t>
      </w:r>
      <w:r w:rsidR="007351B7" w:rsidRPr="007351B7">
        <w:rPr>
          <w:rFonts w:ascii="Cambria" w:hAnsi="Cambria"/>
          <w:sz w:val="20"/>
          <w:szCs w:val="20"/>
        </w:rPr>
        <w:t xml:space="preserve"> preservat</w:t>
      </w:r>
      <w:r w:rsidR="007351B7">
        <w:rPr>
          <w:rFonts w:ascii="Cambria" w:hAnsi="Cambria"/>
          <w:sz w:val="20"/>
          <w:szCs w:val="20"/>
        </w:rPr>
        <w:t xml:space="preserve">ion </w:t>
      </w:r>
      <w:r w:rsidR="004F6D8F">
        <w:rPr>
          <w:rFonts w:ascii="Cambria" w:hAnsi="Cambria"/>
          <w:sz w:val="20"/>
          <w:szCs w:val="20"/>
        </w:rPr>
        <w:t xml:space="preserve"> </w:t>
      </w:r>
      <w:r w:rsidR="007351B7">
        <w:rPr>
          <w:rFonts w:ascii="Cambria" w:hAnsi="Cambria"/>
          <w:sz w:val="20"/>
          <w:szCs w:val="20"/>
        </w:rPr>
        <w:t xml:space="preserve">of </w:t>
      </w:r>
      <w:r w:rsidR="004F6D8F">
        <w:rPr>
          <w:rFonts w:ascii="Cambria" w:hAnsi="Cambria"/>
          <w:sz w:val="20"/>
          <w:szCs w:val="20"/>
        </w:rPr>
        <w:t xml:space="preserve"> </w:t>
      </w:r>
      <w:r w:rsidR="007351B7">
        <w:rPr>
          <w:rFonts w:ascii="Cambria" w:hAnsi="Cambria"/>
          <w:sz w:val="20"/>
          <w:szCs w:val="20"/>
        </w:rPr>
        <w:t>health</w:t>
      </w:r>
      <w:r w:rsidR="004F6D8F">
        <w:rPr>
          <w:rFonts w:ascii="Cambria" w:hAnsi="Cambria"/>
          <w:sz w:val="20"/>
          <w:szCs w:val="20"/>
        </w:rPr>
        <w:t xml:space="preserve"> </w:t>
      </w:r>
      <w:r w:rsidR="007351B7">
        <w:rPr>
          <w:rFonts w:ascii="Cambria" w:hAnsi="Cambria"/>
          <w:sz w:val="20"/>
          <w:szCs w:val="20"/>
        </w:rPr>
        <w:t xml:space="preserve"> and </w:t>
      </w:r>
      <w:r w:rsidR="004F6D8F">
        <w:rPr>
          <w:rFonts w:ascii="Cambria" w:hAnsi="Cambria"/>
          <w:sz w:val="20"/>
          <w:szCs w:val="20"/>
        </w:rPr>
        <w:t xml:space="preserve"> </w:t>
      </w:r>
      <w:r w:rsidR="007351B7">
        <w:rPr>
          <w:rFonts w:ascii="Cambria" w:hAnsi="Cambria"/>
          <w:sz w:val="20"/>
          <w:szCs w:val="20"/>
        </w:rPr>
        <w:t>to</w:t>
      </w:r>
      <w:r w:rsidR="004F6D8F">
        <w:rPr>
          <w:rFonts w:ascii="Cambria" w:hAnsi="Cambria"/>
          <w:sz w:val="20"/>
          <w:szCs w:val="20"/>
        </w:rPr>
        <w:t xml:space="preserve"> </w:t>
      </w:r>
      <w:r w:rsidR="007351B7">
        <w:rPr>
          <w:rFonts w:ascii="Cambria" w:hAnsi="Cambria"/>
          <w:sz w:val="20"/>
          <w:szCs w:val="20"/>
        </w:rPr>
        <w:t xml:space="preserve"> well-being</w:t>
      </w:r>
      <w:r w:rsidR="007351B7" w:rsidRPr="007351B7">
        <w:rPr>
          <w:rFonts w:ascii="Cambria" w:hAnsi="Cambria"/>
          <w:sz w:val="20"/>
          <w:szCs w:val="20"/>
        </w:rPr>
        <w:t>)</w:t>
      </w:r>
      <w:r w:rsidRPr="00597919">
        <w:rPr>
          <w:rFonts w:ascii="Cambria" w:hAnsi="Cambria"/>
          <w:sz w:val="20"/>
          <w:szCs w:val="20"/>
        </w:rPr>
        <w:t>,</w:t>
      </w:r>
      <w:r w:rsidR="004F6D8F">
        <w:rPr>
          <w:rFonts w:ascii="Cambria" w:hAnsi="Cambria"/>
          <w:sz w:val="20"/>
          <w:szCs w:val="20"/>
        </w:rPr>
        <w:t xml:space="preserve"> </w:t>
      </w:r>
      <w:r w:rsidRPr="00597919">
        <w:rPr>
          <w:rFonts w:ascii="Cambria" w:hAnsi="Cambria"/>
          <w:sz w:val="20"/>
          <w:szCs w:val="20"/>
        </w:rPr>
        <w:t xml:space="preserve"> XVIII</w:t>
      </w:r>
      <w:r w:rsidR="004F6D8F">
        <w:rPr>
          <w:rFonts w:ascii="Cambria" w:hAnsi="Cambria"/>
          <w:sz w:val="20"/>
          <w:szCs w:val="20"/>
        </w:rPr>
        <w:t xml:space="preserve"> </w:t>
      </w:r>
      <w:r w:rsidR="007351B7">
        <w:rPr>
          <w:rFonts w:ascii="Cambria" w:hAnsi="Cambria"/>
          <w:sz w:val="20"/>
          <w:szCs w:val="20"/>
        </w:rPr>
        <w:t xml:space="preserve"> (Right to a fair trial</w:t>
      </w:r>
      <w:r w:rsidR="007351B7" w:rsidRPr="007351B7">
        <w:rPr>
          <w:rFonts w:ascii="Cambria" w:hAnsi="Cambria"/>
          <w:sz w:val="20"/>
          <w:szCs w:val="20"/>
        </w:rPr>
        <w:t>)</w:t>
      </w:r>
      <w:r w:rsidR="004F6D8F">
        <w:rPr>
          <w:rFonts w:ascii="Cambria" w:hAnsi="Cambria"/>
          <w:sz w:val="20"/>
          <w:szCs w:val="20"/>
        </w:rPr>
        <w:t xml:space="preserve"> </w:t>
      </w:r>
      <w:r w:rsidRPr="00597919">
        <w:rPr>
          <w:rFonts w:ascii="Cambria" w:hAnsi="Cambria"/>
          <w:sz w:val="20"/>
          <w:szCs w:val="20"/>
        </w:rPr>
        <w:t xml:space="preserve"> and  XXIV</w:t>
      </w:r>
      <w:r w:rsidR="007351B7" w:rsidRPr="007351B7">
        <w:t xml:space="preserve"> </w:t>
      </w:r>
      <w:r w:rsidR="007351B7" w:rsidRPr="007351B7">
        <w:rPr>
          <w:rFonts w:ascii="Cambria" w:hAnsi="Cambria"/>
          <w:sz w:val="20"/>
          <w:szCs w:val="20"/>
        </w:rPr>
        <w:t>(Right of petition)</w:t>
      </w:r>
      <w:r w:rsidRPr="00597919">
        <w:rPr>
          <w:rFonts w:ascii="Cambria" w:hAnsi="Cambria"/>
          <w:sz w:val="20"/>
          <w:szCs w:val="20"/>
        </w:rPr>
        <w:t xml:space="preserve"> with </w:t>
      </w:r>
    </w:p>
    <w:p w14:paraId="5DD74F77" w14:textId="0B19161D" w:rsidR="00597919" w:rsidRPr="004D3DA5" w:rsidRDefault="00597919" w:rsidP="005325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7919">
        <w:rPr>
          <w:rFonts w:ascii="Cambria" w:hAnsi="Cambria"/>
          <w:sz w:val="20"/>
          <w:szCs w:val="20"/>
        </w:rPr>
        <w:lastRenderedPageBreak/>
        <w:t>respect to the alleged victims Zaida Torres, Wanda Bermúdez, Ivis Cintrón Díaz, Ida Vodo</w:t>
      </w:r>
      <w:r w:rsidR="007351B7">
        <w:rPr>
          <w:rFonts w:ascii="Cambria" w:hAnsi="Cambria"/>
          <w:sz w:val="20"/>
          <w:szCs w:val="20"/>
        </w:rPr>
        <w:t>fsky Colon</w:t>
      </w:r>
      <w:r w:rsidRPr="00597919">
        <w:rPr>
          <w:rFonts w:ascii="Cambria" w:hAnsi="Cambria"/>
          <w:sz w:val="20"/>
          <w:szCs w:val="20"/>
        </w:rPr>
        <w:t>, Asunción Rivera, and Ilsa Ortiz Ortiz; (b) Articles I, XI, XVIII, and  XXIV  with  respect to the a</w:t>
      </w:r>
      <w:r w:rsidR="00E524AA">
        <w:rPr>
          <w:rFonts w:ascii="Cambria" w:hAnsi="Cambria"/>
          <w:sz w:val="20"/>
          <w:szCs w:val="20"/>
        </w:rPr>
        <w:t xml:space="preserve">lleged victims Ismael Guadalupe and </w:t>
      </w:r>
      <w:r w:rsidR="004D3DA5">
        <w:rPr>
          <w:rFonts w:ascii="Cambria" w:hAnsi="Cambria"/>
          <w:sz w:val="20"/>
          <w:szCs w:val="20"/>
        </w:rPr>
        <w:t xml:space="preserve"> Nilo Adams Colón;</w:t>
      </w:r>
      <w:r w:rsidRPr="00597919">
        <w:rPr>
          <w:rFonts w:ascii="Cambria" w:hAnsi="Cambria"/>
          <w:sz w:val="20"/>
          <w:szCs w:val="20"/>
        </w:rPr>
        <w:t xml:space="preserve"> (c) Article XIV</w:t>
      </w:r>
      <w:r w:rsidR="007351B7" w:rsidRPr="007351B7">
        <w:t xml:space="preserve"> </w:t>
      </w:r>
      <w:r w:rsidR="007351B7" w:rsidRPr="007351B7">
        <w:rPr>
          <w:rFonts w:ascii="Cambria" w:hAnsi="Cambria"/>
          <w:sz w:val="20"/>
          <w:szCs w:val="20"/>
        </w:rPr>
        <w:t>(Right t</w:t>
      </w:r>
      <w:r w:rsidR="007351B7">
        <w:rPr>
          <w:rFonts w:ascii="Cambria" w:hAnsi="Cambria"/>
          <w:sz w:val="20"/>
          <w:szCs w:val="20"/>
        </w:rPr>
        <w:t>o work and to fair remuneration</w:t>
      </w:r>
      <w:r w:rsidR="007351B7" w:rsidRPr="007351B7">
        <w:rPr>
          <w:rFonts w:ascii="Cambria" w:hAnsi="Cambria"/>
          <w:sz w:val="20"/>
          <w:szCs w:val="20"/>
        </w:rPr>
        <w:t>)</w:t>
      </w:r>
      <w:r w:rsidRPr="00597919">
        <w:rPr>
          <w:rFonts w:ascii="Cambria" w:hAnsi="Cambria"/>
          <w:sz w:val="20"/>
          <w:szCs w:val="20"/>
        </w:rPr>
        <w:t xml:space="preserve"> with regard to the alleged victim Cacimar Zenón</w:t>
      </w:r>
      <w:r w:rsidR="004D3DA5">
        <w:rPr>
          <w:rFonts w:ascii="Cambria" w:hAnsi="Cambria"/>
          <w:sz w:val="20"/>
          <w:szCs w:val="20"/>
        </w:rPr>
        <w:t>; and (d) Articles I,</w:t>
      </w:r>
      <w:r w:rsidR="004D3DA5" w:rsidRPr="004D3DA5">
        <w:rPr>
          <w:rFonts w:ascii="Cambria" w:hAnsi="Cambria"/>
          <w:sz w:val="20"/>
          <w:szCs w:val="20"/>
        </w:rPr>
        <w:t xml:space="preserve"> XI</w:t>
      </w:r>
      <w:r w:rsidR="004D3DA5" w:rsidRPr="004D3DA5">
        <w:t xml:space="preserve"> </w:t>
      </w:r>
      <w:r w:rsidR="004D3DA5">
        <w:rPr>
          <w:rFonts w:ascii="Cambria" w:hAnsi="Cambria"/>
          <w:sz w:val="20"/>
          <w:szCs w:val="20"/>
        </w:rPr>
        <w:t>XVIII,</w:t>
      </w:r>
      <w:r w:rsidR="004D3DA5" w:rsidRPr="004D3DA5">
        <w:rPr>
          <w:rFonts w:ascii="Cambria" w:hAnsi="Cambria"/>
          <w:sz w:val="20"/>
          <w:szCs w:val="20"/>
        </w:rPr>
        <w:t xml:space="preserve"> and  XXIV</w:t>
      </w:r>
      <w:r w:rsidR="004D3DA5">
        <w:rPr>
          <w:rFonts w:ascii="Cambria" w:hAnsi="Cambria"/>
          <w:sz w:val="20"/>
          <w:szCs w:val="20"/>
        </w:rPr>
        <w:t xml:space="preserve"> with regard to the alleged victim Norma Torres Sanes</w:t>
      </w:r>
      <w:r w:rsidR="00324BCF">
        <w:rPr>
          <w:rFonts w:ascii="Cambria" w:hAnsi="Cambria"/>
          <w:sz w:val="20"/>
          <w:szCs w:val="20"/>
        </w:rPr>
        <w:t xml:space="preserve">; </w:t>
      </w:r>
      <w:r w:rsidR="00324BCF" w:rsidRPr="001735C5">
        <w:rPr>
          <w:rFonts w:ascii="Cambria" w:hAnsi="Cambria"/>
          <w:sz w:val="20"/>
          <w:szCs w:val="20"/>
        </w:rPr>
        <w:t>and ( e) Article IV</w:t>
      </w:r>
      <w:r w:rsidR="00A66A6C" w:rsidRPr="001735C5">
        <w:rPr>
          <w:rFonts w:ascii="Cambria" w:hAnsi="Cambria"/>
          <w:sz w:val="20"/>
          <w:szCs w:val="20"/>
        </w:rPr>
        <w:t xml:space="preserve"> (Right to freedom of investigation, opinion, expression and dissemination).</w:t>
      </w:r>
      <w:r w:rsidR="00324BCF" w:rsidRPr="001735C5">
        <w:rPr>
          <w:rFonts w:ascii="Cambria" w:hAnsi="Cambria"/>
          <w:sz w:val="20"/>
          <w:szCs w:val="20"/>
        </w:rPr>
        <w:t xml:space="preserve"> in relation to all of</w:t>
      </w:r>
      <w:r w:rsidR="00A66A6C" w:rsidRPr="001735C5">
        <w:rPr>
          <w:rFonts w:ascii="Cambria" w:hAnsi="Cambria"/>
          <w:sz w:val="20"/>
          <w:szCs w:val="20"/>
        </w:rPr>
        <w:t xml:space="preserve"> the alleged victims.</w:t>
      </w:r>
      <w:r w:rsidR="00324BCF">
        <w:rPr>
          <w:rFonts w:ascii="Cambria" w:hAnsi="Cambria"/>
          <w:sz w:val="20"/>
          <w:szCs w:val="20"/>
        </w:rPr>
        <w:t xml:space="preserve"> </w:t>
      </w:r>
    </w:p>
    <w:p w14:paraId="18E52ED3" w14:textId="2128FF90"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I</w:t>
      </w:r>
      <w:r w:rsidR="00852692">
        <w:rPr>
          <w:rFonts w:asciiTheme="majorHAnsi" w:hAnsiTheme="majorHAnsi"/>
          <w:b/>
          <w:bCs/>
          <w:sz w:val="20"/>
          <w:szCs w:val="20"/>
        </w:rPr>
        <w:t>X</w:t>
      </w:r>
      <w:r w:rsidRPr="000B6B7A">
        <w:rPr>
          <w:rFonts w:asciiTheme="majorHAnsi" w:hAnsiTheme="majorHAnsi"/>
          <w:b/>
          <w:bCs/>
          <w:sz w:val="20"/>
          <w:szCs w:val="20"/>
        </w:rPr>
        <w:t xml:space="preserve">. </w:t>
      </w:r>
      <w:r w:rsidRPr="000B6B7A">
        <w:rPr>
          <w:rFonts w:asciiTheme="majorHAnsi" w:hAnsiTheme="majorHAnsi"/>
          <w:b/>
          <w:bCs/>
          <w:sz w:val="20"/>
          <w:szCs w:val="20"/>
        </w:rPr>
        <w:tab/>
        <w:t>DECISION</w:t>
      </w:r>
    </w:p>
    <w:p w14:paraId="2B420FFF" w14:textId="2B9C160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w:t>
      </w:r>
      <w:r w:rsidR="007351B7" w:rsidRPr="001735C5">
        <w:rPr>
          <w:rFonts w:asciiTheme="majorHAnsi" w:hAnsiTheme="majorHAnsi"/>
          <w:sz w:val="20"/>
          <w:szCs w:val="20"/>
        </w:rPr>
        <w:t>Articles</w:t>
      </w:r>
      <w:r w:rsidR="007351B7" w:rsidRPr="001735C5">
        <w:rPr>
          <w:rFonts w:ascii="Cambria" w:hAnsi="Cambria"/>
          <w:sz w:val="20"/>
          <w:szCs w:val="20"/>
        </w:rPr>
        <w:t xml:space="preserve"> </w:t>
      </w:r>
      <w:r w:rsidR="007351B7" w:rsidRPr="001735C5">
        <w:rPr>
          <w:rFonts w:asciiTheme="majorHAnsi" w:hAnsiTheme="majorHAnsi"/>
          <w:sz w:val="20"/>
          <w:szCs w:val="20"/>
        </w:rPr>
        <w:t xml:space="preserve">I, </w:t>
      </w:r>
      <w:r w:rsidR="00A66A6C" w:rsidRPr="001735C5">
        <w:rPr>
          <w:rFonts w:asciiTheme="majorHAnsi" w:hAnsiTheme="majorHAnsi"/>
          <w:sz w:val="20"/>
          <w:szCs w:val="20"/>
        </w:rPr>
        <w:t xml:space="preserve">IV, </w:t>
      </w:r>
      <w:r w:rsidR="007351B7" w:rsidRPr="001735C5">
        <w:rPr>
          <w:rFonts w:ascii="Cambria" w:hAnsi="Cambria"/>
          <w:sz w:val="20"/>
          <w:szCs w:val="20"/>
        </w:rPr>
        <w:t>VI</w:t>
      </w:r>
      <w:r w:rsidR="007351B7">
        <w:rPr>
          <w:rFonts w:asciiTheme="majorHAnsi" w:hAnsiTheme="majorHAnsi"/>
          <w:sz w:val="20"/>
          <w:szCs w:val="20"/>
        </w:rPr>
        <w:t xml:space="preserve">, </w:t>
      </w:r>
      <w:r w:rsidR="007351B7" w:rsidRPr="007351B7">
        <w:rPr>
          <w:rFonts w:asciiTheme="majorHAnsi" w:hAnsiTheme="majorHAnsi"/>
          <w:sz w:val="20"/>
          <w:szCs w:val="20"/>
        </w:rPr>
        <w:t>VII</w:t>
      </w:r>
      <w:r w:rsidR="007351B7">
        <w:rPr>
          <w:rFonts w:asciiTheme="majorHAnsi" w:hAnsiTheme="majorHAnsi"/>
          <w:sz w:val="20"/>
          <w:szCs w:val="20"/>
        </w:rPr>
        <w:t xml:space="preserve">, </w:t>
      </w:r>
      <w:r w:rsidR="007351B7" w:rsidRPr="007351B7">
        <w:rPr>
          <w:rFonts w:asciiTheme="majorHAnsi" w:hAnsiTheme="majorHAnsi"/>
          <w:sz w:val="20"/>
          <w:szCs w:val="20"/>
        </w:rPr>
        <w:t>XI</w:t>
      </w:r>
      <w:r w:rsidR="007351B7">
        <w:rPr>
          <w:rFonts w:asciiTheme="majorHAnsi" w:hAnsiTheme="majorHAnsi"/>
          <w:sz w:val="20"/>
          <w:szCs w:val="20"/>
        </w:rPr>
        <w:t xml:space="preserve">, </w:t>
      </w:r>
      <w:r w:rsidR="007351B7" w:rsidRPr="007351B7">
        <w:rPr>
          <w:rFonts w:asciiTheme="majorHAnsi" w:hAnsiTheme="majorHAnsi"/>
          <w:sz w:val="20"/>
          <w:szCs w:val="20"/>
        </w:rPr>
        <w:t>XIV</w:t>
      </w:r>
      <w:r w:rsidR="007351B7">
        <w:rPr>
          <w:rFonts w:asciiTheme="majorHAnsi" w:hAnsiTheme="majorHAnsi"/>
          <w:sz w:val="20"/>
          <w:szCs w:val="20"/>
        </w:rPr>
        <w:t>,</w:t>
      </w:r>
      <w:r w:rsidR="007351B7" w:rsidRPr="007351B7">
        <w:rPr>
          <w:rFonts w:asciiTheme="majorHAnsi" w:hAnsiTheme="majorHAnsi"/>
          <w:sz w:val="20"/>
          <w:szCs w:val="20"/>
        </w:rPr>
        <w:t xml:space="preserve"> XVIII</w:t>
      </w:r>
      <w:r w:rsidR="007351B7">
        <w:rPr>
          <w:rFonts w:asciiTheme="majorHAnsi" w:hAnsiTheme="majorHAnsi"/>
          <w:sz w:val="20"/>
          <w:szCs w:val="20"/>
        </w:rPr>
        <w:t>, and XXIV</w:t>
      </w:r>
      <w:r w:rsidR="00570305">
        <w:rPr>
          <w:rFonts w:asciiTheme="majorHAnsi" w:hAnsiTheme="majorHAnsi"/>
          <w:sz w:val="20"/>
          <w:szCs w:val="20"/>
        </w:rPr>
        <w:t xml:space="preserve"> of the American Declaration</w:t>
      </w:r>
      <w:r w:rsidR="007351B7">
        <w:rPr>
          <w:rFonts w:asciiTheme="majorHAnsi" w:hAnsiTheme="majorHAnsi"/>
          <w:sz w:val="20"/>
          <w:szCs w:val="20"/>
        </w:rPr>
        <w:t>;</w:t>
      </w:r>
      <w:r w:rsidR="00063808">
        <w:rPr>
          <w:rFonts w:asciiTheme="majorHAnsi" w:hAnsiTheme="majorHAnsi"/>
          <w:sz w:val="20"/>
          <w:szCs w:val="20"/>
        </w:rPr>
        <w:t xml:space="preserve"> </w:t>
      </w:r>
    </w:p>
    <w:p w14:paraId="5E511189" w14:textId="77777777" w:rsidR="00F621C3" w:rsidRPr="00AE172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570305">
        <w:rPr>
          <w:rFonts w:asciiTheme="majorHAnsi" w:hAnsiTheme="majorHAnsi"/>
          <w:sz w:val="20"/>
          <w:szCs w:val="20"/>
        </w:rPr>
        <w:t>t</w:t>
      </w:r>
      <w:r w:rsidRPr="00570305">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34FBD5C5" w14:textId="2064DD63" w:rsidR="00AE1722" w:rsidRPr="00C743FF" w:rsidRDefault="00382F8E" w:rsidP="00C743FF">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5</w:t>
      </w:r>
      <w:r w:rsidRPr="00382F8E">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April</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Pr>
          <w:rFonts w:ascii="Cambria" w:hAnsi="Cambria"/>
          <w:sz w:val="20"/>
        </w:rPr>
        <w:t xml:space="preserve">Stuardo Ralón Orellana, </w:t>
      </w:r>
      <w:r w:rsidRPr="00B76FE0">
        <w:rPr>
          <w:rFonts w:ascii="Cambria" w:hAnsi="Cambria"/>
          <w:sz w:val="20"/>
        </w:rPr>
        <w:t xml:space="preserve">First Vice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w:t>
      </w:r>
      <w:r w:rsidRPr="00B76FE0">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Pr="00F9365E">
        <w:rPr>
          <w:rFonts w:ascii="Cambria" w:hAnsi="Cambria"/>
          <w:sz w:val="20"/>
        </w:rPr>
        <w:t xml:space="preserve"> </w:t>
      </w:r>
      <w:r>
        <w:rPr>
          <w:rFonts w:ascii="Cambria" w:hAnsi="Cambria"/>
          <w:sz w:val="20"/>
        </w:rPr>
        <w:t>Joel Hernández, and Roberta Clarke,</w:t>
      </w:r>
      <w:r w:rsidRPr="006D25D7">
        <w:rPr>
          <w:rFonts w:ascii="Cambria" w:hAnsi="Cambria" w:cs="Arial"/>
          <w:noProof/>
          <w:spacing w:val="-2"/>
          <w:sz w:val="20"/>
        </w:rPr>
        <w:t xml:space="preserve"> Commissioners</w:t>
      </w:r>
      <w:r w:rsidRPr="006D25D7">
        <w:rPr>
          <w:rFonts w:ascii="Cambria" w:hAnsi="Cambria"/>
          <w:spacing w:val="-2"/>
          <w:sz w:val="20"/>
        </w:rPr>
        <w:t>.</w:t>
      </w:r>
    </w:p>
    <w:p w14:paraId="671A8E75"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00D8089B"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ACEDD93"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6D17443D" w14:textId="77777777" w:rsidR="00F621C3" w:rsidRPr="000B6B7A" w:rsidRDefault="00F621C3" w:rsidP="00F621C3">
      <w:pPr>
        <w:rPr>
          <w:rFonts w:ascii="Cambria" w:hAnsi="Cambria" w:cs="Calibri"/>
          <w:sz w:val="20"/>
          <w:szCs w:val="20"/>
        </w:rPr>
      </w:pPr>
    </w:p>
    <w:p w14:paraId="30A1DCDC"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06E7" w14:textId="77777777" w:rsidR="00661692" w:rsidRDefault="00661692" w:rsidP="00036A8A">
      <w:r>
        <w:separator/>
      </w:r>
    </w:p>
  </w:endnote>
  <w:endnote w:type="continuationSeparator" w:id="0">
    <w:p w14:paraId="17585AD7" w14:textId="77777777" w:rsidR="00661692" w:rsidRDefault="0066169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8664257" w14:textId="0E1889F0"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04E71">
          <w:rPr>
            <w:noProof/>
            <w:sz w:val="16"/>
          </w:rPr>
          <w:t>11</w:t>
        </w:r>
        <w:r w:rsidRPr="006311DA">
          <w:rPr>
            <w:noProof/>
            <w:sz w:val="16"/>
          </w:rPr>
          <w:fldChar w:fldCharType="end"/>
        </w:r>
      </w:p>
    </w:sdtContent>
  </w:sdt>
  <w:p w14:paraId="660BE0A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5EAE" w14:textId="77777777" w:rsidR="007607C4" w:rsidRDefault="007607C4">
    <w:pPr>
      <w:pStyle w:val="Footer"/>
      <w:jc w:val="center"/>
    </w:pPr>
  </w:p>
  <w:p w14:paraId="0431178D"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97ED" w14:textId="77777777" w:rsidR="00661692" w:rsidRPr="00036A8A" w:rsidRDefault="0066169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81CC47F" w14:textId="77777777" w:rsidR="00661692" w:rsidRPr="00036A8A" w:rsidRDefault="00661692" w:rsidP="00036A8A">
      <w:pPr>
        <w:rPr>
          <w:rFonts w:asciiTheme="majorHAnsi" w:hAnsiTheme="majorHAnsi"/>
          <w:sz w:val="16"/>
          <w:szCs w:val="16"/>
        </w:rPr>
      </w:pPr>
      <w:r w:rsidRPr="00036A8A">
        <w:rPr>
          <w:rFonts w:asciiTheme="majorHAnsi" w:hAnsiTheme="majorHAnsi"/>
          <w:sz w:val="16"/>
          <w:szCs w:val="16"/>
        </w:rPr>
        <w:separator/>
      </w:r>
    </w:p>
    <w:p w14:paraId="32AB1C7F" w14:textId="77777777" w:rsidR="00661692" w:rsidRPr="00036A8A" w:rsidRDefault="0066169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ED65CA7" w14:textId="77777777" w:rsidR="00661692" w:rsidRPr="0093441A" w:rsidRDefault="0066169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A347ACB" w14:textId="0210243D" w:rsidR="009844CF" w:rsidRPr="00DC5E7B" w:rsidRDefault="009844CF" w:rsidP="00597973">
      <w:pPr>
        <w:pStyle w:val="FootnoteText"/>
        <w:ind w:firstLine="720"/>
        <w:jc w:val="both"/>
        <w:rPr>
          <w:rFonts w:asciiTheme="majorHAnsi" w:hAnsiTheme="majorHAnsi"/>
          <w:sz w:val="16"/>
          <w:szCs w:val="16"/>
          <w:lang w:val="es-US"/>
        </w:rPr>
      </w:pPr>
      <w:r w:rsidRPr="00DC5E7B">
        <w:rPr>
          <w:rStyle w:val="FootnoteReference"/>
          <w:rFonts w:asciiTheme="majorHAnsi" w:hAnsiTheme="majorHAnsi"/>
          <w:sz w:val="16"/>
          <w:szCs w:val="16"/>
        </w:rPr>
        <w:footnoteRef/>
      </w:r>
      <w:r w:rsidRPr="00DC5E7B">
        <w:rPr>
          <w:rFonts w:asciiTheme="majorHAnsi" w:hAnsiTheme="majorHAnsi"/>
          <w:sz w:val="16"/>
          <w:szCs w:val="16"/>
          <w:lang w:val="es-US"/>
        </w:rPr>
        <w:t xml:space="preserve"> </w:t>
      </w:r>
      <w:r w:rsidRPr="00DC5E7B">
        <w:rPr>
          <w:rFonts w:asciiTheme="majorHAnsi" w:hAnsiTheme="majorHAnsi"/>
          <w:bCs/>
          <w:sz w:val="16"/>
          <w:szCs w:val="16"/>
          <w:lang w:val="es-US"/>
        </w:rPr>
        <w:t>Wanda Bermúdez, Ivis Cintrón Díaz, Ida Vodofsky Colon, Norma Torres Sanes, Cacimar Zenón, Asunción Rivera, Ismael Guadalupe, Ilsa Ortiz Ortiz, and Nilo Adams Colón.</w:t>
      </w:r>
    </w:p>
  </w:footnote>
  <w:footnote w:id="3">
    <w:p w14:paraId="0EB67DF0" w14:textId="77777777" w:rsidR="00F90BF0" w:rsidRPr="00DC5E7B" w:rsidRDefault="00F90BF0" w:rsidP="00597973">
      <w:pPr>
        <w:pStyle w:val="FootnoteText"/>
        <w:ind w:firstLine="720"/>
        <w:jc w:val="both"/>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Hereinafter “United States”, “the U.S.” or “the State.”  </w:t>
      </w:r>
    </w:p>
  </w:footnote>
  <w:footnote w:id="4">
    <w:p w14:paraId="0A0A079B" w14:textId="77777777" w:rsidR="00F90BF0" w:rsidRPr="00DC5E7B" w:rsidRDefault="00F90BF0" w:rsidP="00597973">
      <w:pPr>
        <w:pStyle w:val="FootnoteText"/>
        <w:ind w:firstLine="720"/>
        <w:jc w:val="both"/>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Hereinafter “American Declaration.”  </w:t>
      </w:r>
    </w:p>
  </w:footnote>
  <w:footnote w:id="5">
    <w:p w14:paraId="3DD272C1" w14:textId="25E7208A" w:rsidR="00653EA6" w:rsidRPr="00DC5E7B" w:rsidRDefault="00653EA6" w:rsidP="00597973">
      <w:pPr>
        <w:pStyle w:val="FootnoteText"/>
        <w:ind w:firstLine="720"/>
        <w:jc w:val="both"/>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The observations </w:t>
      </w:r>
      <w:r w:rsidR="00321AFD" w:rsidRPr="00DC5E7B">
        <w:rPr>
          <w:rFonts w:asciiTheme="majorHAnsi" w:hAnsiTheme="majorHAnsi"/>
          <w:sz w:val="16"/>
          <w:szCs w:val="16"/>
        </w:rPr>
        <w:t>submitted</w:t>
      </w:r>
      <w:r w:rsidRPr="00DC5E7B">
        <w:rPr>
          <w:rFonts w:asciiTheme="majorHAnsi" w:hAnsiTheme="majorHAnsi"/>
          <w:sz w:val="16"/>
          <w:szCs w:val="16"/>
        </w:rPr>
        <w:t xml:space="preserve"> by each party were duly transmitted to the opposing party.</w:t>
      </w:r>
      <w:r w:rsidR="00C358B0" w:rsidRPr="00DC5E7B">
        <w:rPr>
          <w:rFonts w:asciiTheme="majorHAnsi" w:hAnsiTheme="majorHAnsi"/>
          <w:sz w:val="16"/>
          <w:szCs w:val="16"/>
        </w:rPr>
        <w:t xml:space="preserve"> </w:t>
      </w:r>
    </w:p>
  </w:footnote>
  <w:footnote w:id="6">
    <w:p w14:paraId="4D89231A" w14:textId="77777777" w:rsidR="00816E44" w:rsidRPr="00C44739" w:rsidRDefault="00816E44" w:rsidP="00460854">
      <w:pPr>
        <w:pStyle w:val="FootnoteText"/>
        <w:ind w:firstLine="720"/>
        <w:jc w:val="both"/>
        <w:rPr>
          <w:rFonts w:asciiTheme="majorHAnsi" w:hAnsiTheme="majorHAnsi"/>
          <w:sz w:val="16"/>
          <w:szCs w:val="16"/>
          <w:lang w:val="es-419"/>
        </w:rPr>
      </w:pPr>
      <w:r w:rsidRPr="00DC5E7B">
        <w:rPr>
          <w:rStyle w:val="FootnoteReference"/>
          <w:rFonts w:asciiTheme="majorHAnsi" w:hAnsiTheme="majorHAnsi"/>
          <w:sz w:val="16"/>
          <w:szCs w:val="16"/>
        </w:rPr>
        <w:footnoteRef/>
      </w:r>
      <w:r w:rsidRPr="00C44739">
        <w:rPr>
          <w:rFonts w:asciiTheme="majorHAnsi" w:hAnsiTheme="majorHAnsi"/>
          <w:sz w:val="16"/>
          <w:szCs w:val="16"/>
          <w:lang w:val="es-419"/>
        </w:rPr>
        <w:t xml:space="preserve"> Nayda R. Figueroa, MD, MPH, et al., Incidencia y Mortalidad de Cáncer en Vieques 1990 – 2004, at 13, 15 (Nov. 25, 2009).  </w:t>
      </w:r>
    </w:p>
    <w:p w14:paraId="21147B75" w14:textId="77777777" w:rsidR="00816E44" w:rsidRPr="00C44739" w:rsidRDefault="00816E44" w:rsidP="00DC5E7B">
      <w:pPr>
        <w:pStyle w:val="FootnoteText"/>
        <w:jc w:val="both"/>
        <w:rPr>
          <w:rFonts w:asciiTheme="majorHAnsi" w:hAnsiTheme="majorHAnsi"/>
          <w:sz w:val="2"/>
          <w:szCs w:val="2"/>
          <w:lang w:val="es-419"/>
        </w:rPr>
      </w:pPr>
    </w:p>
    <w:p w14:paraId="29D0F745" w14:textId="77777777" w:rsidR="00816E44" w:rsidRPr="00DC5E7B" w:rsidRDefault="00816E44" w:rsidP="00460854">
      <w:pPr>
        <w:pStyle w:val="FootnoteText"/>
        <w:ind w:firstLine="720"/>
        <w:jc w:val="both"/>
        <w:rPr>
          <w:rFonts w:asciiTheme="majorHAnsi" w:hAnsiTheme="majorHAnsi"/>
          <w:sz w:val="16"/>
          <w:szCs w:val="16"/>
        </w:rPr>
      </w:pPr>
      <w:r w:rsidRPr="00DC5E7B">
        <w:rPr>
          <w:rFonts w:asciiTheme="majorHAnsi" w:hAnsiTheme="majorHAnsi"/>
          <w:sz w:val="16"/>
          <w:szCs w:val="16"/>
        </w:rPr>
        <w:t>Déborah Santana, Cruz Maria Nazario and John Lindsay-Poland, Vieques, Puerto Rico In Focus Environmental and Health Impacts of Navy Training A Crisis and its Causes, Second National</w:t>
      </w:r>
      <w:r w:rsidR="00021849" w:rsidRPr="00DC5E7B">
        <w:rPr>
          <w:rFonts w:asciiTheme="majorHAnsi" w:hAnsiTheme="majorHAnsi"/>
          <w:sz w:val="16"/>
          <w:szCs w:val="16"/>
        </w:rPr>
        <w:t xml:space="preserve"> People of Color Environmental </w:t>
      </w:r>
      <w:r w:rsidRPr="00DC5E7B">
        <w:rPr>
          <w:rFonts w:asciiTheme="majorHAnsi" w:hAnsiTheme="majorHAnsi"/>
          <w:sz w:val="16"/>
          <w:szCs w:val="16"/>
        </w:rPr>
        <w:t xml:space="preserve">Leadership Summit, at 5 (Oct. 23, 2002).  </w:t>
      </w:r>
    </w:p>
    <w:p w14:paraId="50AADBA5" w14:textId="77777777" w:rsidR="00816E44" w:rsidRPr="00B368FB" w:rsidRDefault="00816E44" w:rsidP="00DC5E7B">
      <w:pPr>
        <w:pStyle w:val="FootnoteText"/>
        <w:jc w:val="both"/>
        <w:rPr>
          <w:rFonts w:asciiTheme="majorHAnsi" w:hAnsiTheme="majorHAnsi"/>
          <w:sz w:val="2"/>
          <w:szCs w:val="2"/>
        </w:rPr>
      </w:pPr>
    </w:p>
    <w:p w14:paraId="45B93104" w14:textId="77777777" w:rsidR="00816E44" w:rsidRPr="00DC5E7B" w:rsidRDefault="00816E44" w:rsidP="00460854">
      <w:pPr>
        <w:pStyle w:val="FootnoteText"/>
        <w:ind w:firstLine="720"/>
        <w:jc w:val="both"/>
        <w:rPr>
          <w:rFonts w:asciiTheme="majorHAnsi" w:hAnsiTheme="majorHAnsi"/>
          <w:sz w:val="16"/>
          <w:szCs w:val="16"/>
          <w:lang w:val="es-US"/>
        </w:rPr>
      </w:pPr>
      <w:r w:rsidRPr="00DC5E7B">
        <w:rPr>
          <w:rFonts w:asciiTheme="majorHAnsi" w:hAnsiTheme="majorHAnsi"/>
          <w:sz w:val="16"/>
          <w:szCs w:val="16"/>
          <w:lang w:val="es-US"/>
        </w:rPr>
        <w:t xml:space="preserve">Dr. Carmen Ortiz Roque, Jose Ortiz Roque, Ph.D., and Dr. Dulce Albandoz Ortiz, Exposición a contaminantes y enfermedad en </w:t>
      </w:r>
      <w:r w:rsidR="00021849" w:rsidRPr="00DC5E7B">
        <w:rPr>
          <w:rFonts w:asciiTheme="majorHAnsi" w:hAnsiTheme="majorHAnsi"/>
          <w:sz w:val="16"/>
          <w:szCs w:val="16"/>
          <w:lang w:val="es-US"/>
        </w:rPr>
        <w:t>Vieques: Un trabajo en progreso</w:t>
      </w:r>
      <w:r w:rsidRPr="00DC5E7B">
        <w:rPr>
          <w:rFonts w:asciiTheme="majorHAnsi" w:hAnsiTheme="majorHAnsi"/>
          <w:sz w:val="16"/>
          <w:szCs w:val="16"/>
          <w:lang w:val="es-US"/>
        </w:rPr>
        <w:t xml:space="preserve"> (“</w:t>
      </w:r>
      <w:r w:rsidR="00021849" w:rsidRPr="00DC5E7B">
        <w:rPr>
          <w:rFonts w:asciiTheme="majorHAnsi" w:hAnsiTheme="majorHAnsi"/>
          <w:sz w:val="16"/>
          <w:szCs w:val="16"/>
          <w:lang w:val="es-US"/>
        </w:rPr>
        <w:t>Exposición</w:t>
      </w:r>
      <w:r w:rsidRPr="00DC5E7B">
        <w:rPr>
          <w:rFonts w:asciiTheme="majorHAnsi" w:hAnsiTheme="majorHAnsi"/>
          <w:sz w:val="16"/>
          <w:szCs w:val="16"/>
          <w:lang w:val="es-US"/>
        </w:rPr>
        <w:t>”) (Sept. 14, 2000).</w:t>
      </w:r>
    </w:p>
  </w:footnote>
  <w:footnote w:id="7">
    <w:p w14:paraId="6C9A4BC1" w14:textId="77777777" w:rsidR="003C3887" w:rsidRPr="00DC5E7B" w:rsidRDefault="003C3887" w:rsidP="00B368FB">
      <w:pPr>
        <w:pStyle w:val="FootnoteText"/>
        <w:ind w:firstLine="720"/>
        <w:jc w:val="both"/>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The State cites the following </w:t>
      </w:r>
      <w:r w:rsidR="007B6477" w:rsidRPr="00DC5E7B">
        <w:rPr>
          <w:rFonts w:asciiTheme="majorHAnsi" w:hAnsiTheme="majorHAnsi"/>
          <w:sz w:val="16"/>
          <w:szCs w:val="16"/>
        </w:rPr>
        <w:t>studies:</w:t>
      </w:r>
      <w:r w:rsidRPr="00DC5E7B">
        <w:rPr>
          <w:rFonts w:asciiTheme="majorHAnsi" w:hAnsiTheme="majorHAnsi"/>
          <w:sz w:val="16"/>
          <w:szCs w:val="16"/>
        </w:rPr>
        <w:t xml:space="preserve"> “An Evaluation of Environmental, Biological, and Health Data from the Island of Vieques, Puerto Rico" by the Agency for Toxic Substanc</w:t>
      </w:r>
      <w:r w:rsidR="007B6477" w:rsidRPr="00DC5E7B">
        <w:rPr>
          <w:rFonts w:asciiTheme="majorHAnsi" w:hAnsiTheme="majorHAnsi"/>
          <w:sz w:val="16"/>
          <w:szCs w:val="16"/>
        </w:rPr>
        <w:t>es and Disease Registry (ATSDR)</w:t>
      </w:r>
      <w:r w:rsidR="00EA60E3" w:rsidRPr="00DC5E7B">
        <w:rPr>
          <w:rFonts w:asciiTheme="majorHAnsi" w:hAnsiTheme="majorHAnsi"/>
          <w:sz w:val="16"/>
          <w:szCs w:val="16"/>
        </w:rPr>
        <w:t xml:space="preserve"> (published</w:t>
      </w:r>
      <w:r w:rsidRPr="00DC5E7B">
        <w:rPr>
          <w:rFonts w:asciiTheme="majorHAnsi" w:hAnsiTheme="majorHAnsi"/>
          <w:sz w:val="16"/>
          <w:szCs w:val="16"/>
        </w:rPr>
        <w:t xml:space="preserve"> March 19, 2013); and Civilian Exposure to Munitions-Specific Carcinogens and Resulting Cancer Risks for Civilians on Puerto Rican Island of Vieques Following Military Exercises from 1947 to 1998, Sanderson et al., Global Security: Health, Science, and Policy, at 56 (2017). </w:t>
      </w:r>
    </w:p>
  </w:footnote>
  <w:footnote w:id="8">
    <w:p w14:paraId="76591B21" w14:textId="77777777" w:rsidR="00D81F64" w:rsidRPr="00DC5E7B" w:rsidRDefault="00D81F64" w:rsidP="00B368FB">
      <w:pPr>
        <w:pStyle w:val="FootnoteText"/>
        <w:ind w:firstLine="720"/>
        <w:jc w:val="both"/>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IACHR REPORT Nº 26/06 PETITION 434-03 Admissibility Isamu Carlos Shibayama Et Al. UNITED STATES, March 16, 2006, para. 42.</w:t>
      </w:r>
    </w:p>
  </w:footnote>
  <w:footnote w:id="9">
    <w:p w14:paraId="5B1E1380" w14:textId="61212A81" w:rsidR="00B05448" w:rsidRPr="00DC5E7B" w:rsidRDefault="00B05448" w:rsidP="00482950">
      <w:pPr>
        <w:pStyle w:val="FootnoteText"/>
        <w:ind w:firstLine="720"/>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IACHR, Report No. 26/16, Petition 932-03. Inadmissibility. Rómulo Jonás Ponce Santamaría. Peru. April 15, 2016, para. 25.</w:t>
      </w:r>
    </w:p>
  </w:footnote>
  <w:footnote w:id="10">
    <w:p w14:paraId="03EBEB50" w14:textId="77777777" w:rsidR="00B53504" w:rsidRPr="00DC5E7B" w:rsidRDefault="00B53504" w:rsidP="00482950">
      <w:pPr>
        <w:pStyle w:val="FootnoteText"/>
        <w:ind w:firstLine="720"/>
        <w:rPr>
          <w:rFonts w:asciiTheme="majorHAnsi" w:hAnsiTheme="majorHAnsi"/>
          <w:sz w:val="16"/>
          <w:szCs w:val="16"/>
        </w:rPr>
      </w:pPr>
      <w:r w:rsidRPr="00DC5E7B">
        <w:rPr>
          <w:rStyle w:val="FootnoteReference"/>
          <w:rFonts w:asciiTheme="majorHAnsi" w:hAnsiTheme="majorHAnsi"/>
          <w:sz w:val="16"/>
          <w:szCs w:val="16"/>
        </w:rPr>
        <w:footnoteRef/>
      </w:r>
      <w:r w:rsidRPr="00DC5E7B">
        <w:rPr>
          <w:rFonts w:asciiTheme="majorHAnsi" w:hAnsiTheme="majorHAnsi"/>
          <w:sz w:val="16"/>
          <w:szCs w:val="16"/>
        </w:rPr>
        <w:t xml:space="preserve"> IACHR, Report No. 16/18, Petition 884-07. Admissibility. </w:t>
      </w:r>
      <w:r w:rsidRPr="00063808">
        <w:rPr>
          <w:rFonts w:asciiTheme="majorHAnsi" w:hAnsiTheme="majorHAnsi"/>
          <w:sz w:val="16"/>
          <w:szCs w:val="16"/>
        </w:rPr>
        <w:t xml:space="preserve">Victoria Piedad Palacios Tejada de Saavedra. </w:t>
      </w:r>
      <w:r w:rsidRPr="00DC5E7B">
        <w:rPr>
          <w:rFonts w:asciiTheme="majorHAnsi" w:hAnsiTheme="majorHAnsi"/>
          <w:sz w:val="16"/>
          <w:szCs w:val="16"/>
        </w:rPr>
        <w:t>Peru. February 24, 2018, para. 12.</w:t>
      </w:r>
    </w:p>
    <w:p w14:paraId="19A99E6E" w14:textId="0B371EDB" w:rsidR="00B53504" w:rsidRPr="00DC5E7B" w:rsidRDefault="00B53504" w:rsidP="00DC5E7B">
      <w:pPr>
        <w:pStyle w:val="FootnoteText"/>
        <w:jc w:val="both"/>
        <w:rPr>
          <w:rFonts w:asciiTheme="majorHAnsi" w:hAnsi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D10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23EB658"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5A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79E8F05" wp14:editId="78E1917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63DE2B1" w14:textId="77777777" w:rsidR="00040C3A" w:rsidRPr="00EC7D62" w:rsidRDefault="00034520" w:rsidP="002C1641">
    <w:pPr>
      <w:pStyle w:val="Header"/>
      <w:tabs>
        <w:tab w:val="clear" w:pos="4320"/>
        <w:tab w:val="clear" w:pos="8640"/>
      </w:tabs>
      <w:jc w:val="center"/>
      <w:rPr>
        <w:sz w:val="22"/>
        <w:szCs w:val="22"/>
      </w:rPr>
    </w:pPr>
    <w:r>
      <w:rPr>
        <w:sz w:val="22"/>
        <w:szCs w:val="22"/>
      </w:rPr>
      <w:pict w14:anchorId="0095D26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DF2D90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2062083">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62914712">
    <w:abstractNumId w:val="4"/>
  </w:num>
  <w:num w:numId="3" w16cid:durableId="1299803111">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92329502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923371393">
    <w:abstractNumId w:val="6"/>
  </w:num>
  <w:num w:numId="6" w16cid:durableId="1687364718">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540899816">
    <w:abstractNumId w:val="57"/>
  </w:num>
  <w:num w:numId="8" w16cid:durableId="1753888578">
    <w:abstractNumId w:val="22"/>
  </w:num>
  <w:num w:numId="9" w16cid:durableId="1636330356">
    <w:abstractNumId w:val="49"/>
  </w:num>
  <w:num w:numId="10" w16cid:durableId="587006773">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58691605">
    <w:abstractNumId w:val="28"/>
  </w:num>
  <w:num w:numId="12" w16cid:durableId="1952470889">
    <w:abstractNumId w:val="55"/>
  </w:num>
  <w:num w:numId="13" w16cid:durableId="165880037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74356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4622576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027946845">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7210989">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774834912">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72200177">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061707724">
    <w:abstractNumId w:val="7"/>
  </w:num>
  <w:num w:numId="21" w16cid:durableId="183803550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11700538">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7224376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1708068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25647404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472506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349844058">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15477865">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30963045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7003772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04401173">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10934739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9281593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10163521">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275209540">
    <w:abstractNumId w:val="18"/>
  </w:num>
  <w:num w:numId="36" w16cid:durableId="72063871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7140249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36248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39592882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915356148">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4288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455907375">
    <w:abstractNumId w:val="39"/>
  </w:num>
  <w:num w:numId="43" w16cid:durableId="12208277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39213955">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86857086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60656511">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27625468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06887293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539168087">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74687866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1091897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43027773">
    <w:abstractNumId w:val="43"/>
  </w:num>
  <w:num w:numId="53" w16cid:durableId="178159123">
    <w:abstractNumId w:val="0"/>
  </w:num>
  <w:num w:numId="54" w16cid:durableId="320087249">
    <w:abstractNumId w:val="38"/>
  </w:num>
  <w:num w:numId="55" w16cid:durableId="1179583902">
    <w:abstractNumId w:val="39"/>
  </w:num>
  <w:num w:numId="56" w16cid:durableId="260335213">
    <w:abstractNumId w:val="45"/>
  </w:num>
  <w:num w:numId="57" w16cid:durableId="1484422612">
    <w:abstractNumId w:val="1"/>
  </w:num>
  <w:num w:numId="58" w16cid:durableId="253903388">
    <w:abstractNumId w:val="2"/>
  </w:num>
  <w:num w:numId="59" w16cid:durableId="1197154287">
    <w:abstractNumId w:val="8"/>
  </w:num>
  <w:num w:numId="60" w16cid:durableId="904025749">
    <w:abstractNumId w:val="9"/>
  </w:num>
  <w:num w:numId="61" w16cid:durableId="1887333846">
    <w:abstractNumId w:val="10"/>
  </w:num>
  <w:num w:numId="62" w16cid:durableId="346104929">
    <w:abstractNumId w:val="12"/>
  </w:num>
  <w:num w:numId="63" w16cid:durableId="1128158906">
    <w:abstractNumId w:val="13"/>
  </w:num>
  <w:num w:numId="64" w16cid:durableId="1535192185">
    <w:abstractNumId w:val="14"/>
  </w:num>
  <w:num w:numId="65" w16cid:durableId="699234884">
    <w:abstractNumId w:val="15"/>
  </w:num>
  <w:num w:numId="66" w16cid:durableId="1252546354">
    <w:abstractNumId w:val="16"/>
  </w:num>
  <w:num w:numId="67" w16cid:durableId="219025688">
    <w:abstractNumId w:val="17"/>
  </w:num>
  <w:num w:numId="68" w16cid:durableId="2052418778">
    <w:abstractNumId w:val="19"/>
  </w:num>
  <w:num w:numId="69" w16cid:durableId="708452711">
    <w:abstractNumId w:val="20"/>
  </w:num>
  <w:num w:numId="70" w16cid:durableId="956062411">
    <w:abstractNumId w:val="23"/>
  </w:num>
  <w:num w:numId="71" w16cid:durableId="548030905">
    <w:abstractNumId w:val="24"/>
  </w:num>
  <w:num w:numId="72" w16cid:durableId="647441163">
    <w:abstractNumId w:val="25"/>
  </w:num>
  <w:num w:numId="73" w16cid:durableId="153449503">
    <w:abstractNumId w:val="27"/>
  </w:num>
  <w:num w:numId="74" w16cid:durableId="1827280257">
    <w:abstractNumId w:val="29"/>
  </w:num>
  <w:num w:numId="75" w16cid:durableId="884831615">
    <w:abstractNumId w:val="30"/>
  </w:num>
  <w:num w:numId="76" w16cid:durableId="505830686">
    <w:abstractNumId w:val="31"/>
  </w:num>
  <w:num w:numId="77" w16cid:durableId="117140689">
    <w:abstractNumId w:val="32"/>
  </w:num>
  <w:num w:numId="78" w16cid:durableId="1589117746">
    <w:abstractNumId w:val="33"/>
  </w:num>
  <w:num w:numId="79" w16cid:durableId="1604148716">
    <w:abstractNumId w:val="34"/>
  </w:num>
  <w:num w:numId="80" w16cid:durableId="1921596995">
    <w:abstractNumId w:val="35"/>
  </w:num>
  <w:num w:numId="81" w16cid:durableId="2130777439">
    <w:abstractNumId w:val="36"/>
  </w:num>
  <w:num w:numId="82" w16cid:durableId="1868130052">
    <w:abstractNumId w:val="40"/>
  </w:num>
  <w:num w:numId="83" w16cid:durableId="378475283">
    <w:abstractNumId w:val="41"/>
  </w:num>
  <w:num w:numId="84" w16cid:durableId="1762145188">
    <w:abstractNumId w:val="47"/>
  </w:num>
  <w:num w:numId="85" w16cid:durableId="918171275">
    <w:abstractNumId w:val="50"/>
  </w:num>
  <w:num w:numId="86" w16cid:durableId="267395970">
    <w:abstractNumId w:val="52"/>
  </w:num>
  <w:num w:numId="87" w16cid:durableId="985669564">
    <w:abstractNumId w:val="54"/>
  </w:num>
  <w:num w:numId="88" w16cid:durableId="498812858">
    <w:abstractNumId w:val="56"/>
  </w:num>
  <w:num w:numId="89" w16cid:durableId="1032733014">
    <w:abstractNumId w:val="58"/>
  </w:num>
  <w:num w:numId="90" w16cid:durableId="2084913450">
    <w:abstractNumId w:val="59"/>
  </w:num>
  <w:num w:numId="91" w16cid:durableId="699403140">
    <w:abstractNumId w:val="60"/>
  </w:num>
  <w:num w:numId="92" w16cid:durableId="658387144">
    <w:abstractNumId w:val="61"/>
  </w:num>
  <w:num w:numId="93" w16cid:durableId="895706611">
    <w:abstractNumId w:val="62"/>
  </w:num>
  <w:num w:numId="94" w16cid:durableId="887692967">
    <w:abstractNumId w:val="21"/>
  </w:num>
  <w:num w:numId="95" w16cid:durableId="1448355528">
    <w:abstractNumId w:val="42"/>
  </w:num>
  <w:num w:numId="96" w16cid:durableId="720327445">
    <w:abstractNumId w:val="53"/>
  </w:num>
  <w:num w:numId="97" w16cid:durableId="976496065">
    <w:abstractNumId w:val="51"/>
  </w:num>
  <w:num w:numId="98" w16cid:durableId="6292624">
    <w:abstractNumId w:val="46"/>
  </w:num>
  <w:num w:numId="99" w16cid:durableId="716004779">
    <w:abstractNumId w:val="37"/>
  </w:num>
  <w:num w:numId="100" w16cid:durableId="1989166440">
    <w:abstractNumId w:val="3"/>
  </w:num>
  <w:num w:numId="101" w16cid:durableId="1048917095">
    <w:abstractNumId w:val="26"/>
  </w:num>
  <w:num w:numId="102" w16cid:durableId="2082873627">
    <w:abstractNumId w:val="48"/>
  </w:num>
  <w:num w:numId="103" w16cid:durableId="155541328">
    <w:abstractNumId w:val="5"/>
  </w:num>
  <w:num w:numId="104" w16cid:durableId="1403597049">
    <w:abstractNumId w:val="11"/>
  </w:num>
  <w:num w:numId="105" w16cid:durableId="2046297070">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17F3F"/>
    <w:rsid w:val="00021849"/>
    <w:rsid w:val="00022CF5"/>
    <w:rsid w:val="00034520"/>
    <w:rsid w:val="00036A8A"/>
    <w:rsid w:val="00040C3A"/>
    <w:rsid w:val="00045FCE"/>
    <w:rsid w:val="00063808"/>
    <w:rsid w:val="000639C0"/>
    <w:rsid w:val="00070F3A"/>
    <w:rsid w:val="000716C5"/>
    <w:rsid w:val="00075E23"/>
    <w:rsid w:val="0008246E"/>
    <w:rsid w:val="00092F32"/>
    <w:rsid w:val="0009344A"/>
    <w:rsid w:val="00097F30"/>
    <w:rsid w:val="000A575F"/>
    <w:rsid w:val="000B2F51"/>
    <w:rsid w:val="000C4365"/>
    <w:rsid w:val="000D10DB"/>
    <w:rsid w:val="000D18B6"/>
    <w:rsid w:val="000D7637"/>
    <w:rsid w:val="000E0A43"/>
    <w:rsid w:val="00101D88"/>
    <w:rsid w:val="00122A8E"/>
    <w:rsid w:val="00123A6A"/>
    <w:rsid w:val="00124116"/>
    <w:rsid w:val="0013104F"/>
    <w:rsid w:val="00137169"/>
    <w:rsid w:val="00137EBA"/>
    <w:rsid w:val="00145EDC"/>
    <w:rsid w:val="00153084"/>
    <w:rsid w:val="00167A34"/>
    <w:rsid w:val="001714B4"/>
    <w:rsid w:val="001735C5"/>
    <w:rsid w:val="0018037F"/>
    <w:rsid w:val="001A5F27"/>
    <w:rsid w:val="001A65E4"/>
    <w:rsid w:val="001A7870"/>
    <w:rsid w:val="001B27CC"/>
    <w:rsid w:val="001C1B41"/>
    <w:rsid w:val="001E366B"/>
    <w:rsid w:val="001E411D"/>
    <w:rsid w:val="001F1902"/>
    <w:rsid w:val="00200CDE"/>
    <w:rsid w:val="00210E0E"/>
    <w:rsid w:val="00210F4B"/>
    <w:rsid w:val="00223B0E"/>
    <w:rsid w:val="00230163"/>
    <w:rsid w:val="0023351C"/>
    <w:rsid w:val="00247403"/>
    <w:rsid w:val="00247542"/>
    <w:rsid w:val="00257893"/>
    <w:rsid w:val="00266092"/>
    <w:rsid w:val="00266B61"/>
    <w:rsid w:val="0026712A"/>
    <w:rsid w:val="002704DB"/>
    <w:rsid w:val="002760CE"/>
    <w:rsid w:val="002937FD"/>
    <w:rsid w:val="002B7A85"/>
    <w:rsid w:val="002C1641"/>
    <w:rsid w:val="002C69A6"/>
    <w:rsid w:val="002D279B"/>
    <w:rsid w:val="002D7EA2"/>
    <w:rsid w:val="002E15DF"/>
    <w:rsid w:val="002E187C"/>
    <w:rsid w:val="002E30CC"/>
    <w:rsid w:val="002E6E57"/>
    <w:rsid w:val="002F397B"/>
    <w:rsid w:val="00301075"/>
    <w:rsid w:val="00302733"/>
    <w:rsid w:val="00311A4F"/>
    <w:rsid w:val="00314078"/>
    <w:rsid w:val="00321AFD"/>
    <w:rsid w:val="00322450"/>
    <w:rsid w:val="003246B5"/>
    <w:rsid w:val="00324BCF"/>
    <w:rsid w:val="0033169F"/>
    <w:rsid w:val="003379DD"/>
    <w:rsid w:val="003414AC"/>
    <w:rsid w:val="00356185"/>
    <w:rsid w:val="00360380"/>
    <w:rsid w:val="003771A3"/>
    <w:rsid w:val="00382F8E"/>
    <w:rsid w:val="00386CF0"/>
    <w:rsid w:val="0039057B"/>
    <w:rsid w:val="003A4348"/>
    <w:rsid w:val="003C32BC"/>
    <w:rsid w:val="003C3887"/>
    <w:rsid w:val="003D102A"/>
    <w:rsid w:val="003E3E03"/>
    <w:rsid w:val="003F1BBF"/>
    <w:rsid w:val="003F38A9"/>
    <w:rsid w:val="00405C0A"/>
    <w:rsid w:val="00407455"/>
    <w:rsid w:val="004162B1"/>
    <w:rsid w:val="004165C2"/>
    <w:rsid w:val="00450A4A"/>
    <w:rsid w:val="00454F23"/>
    <w:rsid w:val="00460854"/>
    <w:rsid w:val="004666FB"/>
    <w:rsid w:val="00466D0B"/>
    <w:rsid w:val="00467B7E"/>
    <w:rsid w:val="00482950"/>
    <w:rsid w:val="0049419D"/>
    <w:rsid w:val="00496B57"/>
    <w:rsid w:val="00497778"/>
    <w:rsid w:val="004B2762"/>
    <w:rsid w:val="004B7EB6"/>
    <w:rsid w:val="004C00DE"/>
    <w:rsid w:val="004C41DE"/>
    <w:rsid w:val="004C4B62"/>
    <w:rsid w:val="004D0405"/>
    <w:rsid w:val="004D08BE"/>
    <w:rsid w:val="004D3DA5"/>
    <w:rsid w:val="004D6025"/>
    <w:rsid w:val="004D72BC"/>
    <w:rsid w:val="004E5444"/>
    <w:rsid w:val="004E55A8"/>
    <w:rsid w:val="004F6B67"/>
    <w:rsid w:val="004F6D8F"/>
    <w:rsid w:val="005007AC"/>
    <w:rsid w:val="00501399"/>
    <w:rsid w:val="00505D02"/>
    <w:rsid w:val="00507BC4"/>
    <w:rsid w:val="005128E4"/>
    <w:rsid w:val="00520468"/>
    <w:rsid w:val="00525560"/>
    <w:rsid w:val="005325E9"/>
    <w:rsid w:val="005357A6"/>
    <w:rsid w:val="00544C49"/>
    <w:rsid w:val="00570305"/>
    <w:rsid w:val="0057402A"/>
    <w:rsid w:val="005771D0"/>
    <w:rsid w:val="005816E5"/>
    <w:rsid w:val="0059191A"/>
    <w:rsid w:val="005921FF"/>
    <w:rsid w:val="00592718"/>
    <w:rsid w:val="00597919"/>
    <w:rsid w:val="00597973"/>
    <w:rsid w:val="005A6D0E"/>
    <w:rsid w:val="005B222D"/>
    <w:rsid w:val="005B52B0"/>
    <w:rsid w:val="005B6806"/>
    <w:rsid w:val="005C00F9"/>
    <w:rsid w:val="005C4225"/>
    <w:rsid w:val="005C7462"/>
    <w:rsid w:val="005D2163"/>
    <w:rsid w:val="005F0F33"/>
    <w:rsid w:val="00600DEB"/>
    <w:rsid w:val="00605103"/>
    <w:rsid w:val="00613027"/>
    <w:rsid w:val="0061671C"/>
    <w:rsid w:val="00622569"/>
    <w:rsid w:val="0062781A"/>
    <w:rsid w:val="00627C9F"/>
    <w:rsid w:val="006311DA"/>
    <w:rsid w:val="006311E9"/>
    <w:rsid w:val="006318B2"/>
    <w:rsid w:val="00632354"/>
    <w:rsid w:val="00642810"/>
    <w:rsid w:val="00647DB6"/>
    <w:rsid w:val="00652333"/>
    <w:rsid w:val="00653EA6"/>
    <w:rsid w:val="00661692"/>
    <w:rsid w:val="0068009E"/>
    <w:rsid w:val="006A17D2"/>
    <w:rsid w:val="006A73E6"/>
    <w:rsid w:val="006B2D5C"/>
    <w:rsid w:val="006C0954"/>
    <w:rsid w:val="006C3952"/>
    <w:rsid w:val="006C4EB1"/>
    <w:rsid w:val="006D4707"/>
    <w:rsid w:val="006D747B"/>
    <w:rsid w:val="006E0166"/>
    <w:rsid w:val="006E370A"/>
    <w:rsid w:val="006E7B34"/>
    <w:rsid w:val="006F1022"/>
    <w:rsid w:val="006F220F"/>
    <w:rsid w:val="006F4458"/>
    <w:rsid w:val="006F573D"/>
    <w:rsid w:val="00701B24"/>
    <w:rsid w:val="00704749"/>
    <w:rsid w:val="00705640"/>
    <w:rsid w:val="00706858"/>
    <w:rsid w:val="0071495F"/>
    <w:rsid w:val="007351B7"/>
    <w:rsid w:val="0073798E"/>
    <w:rsid w:val="00745899"/>
    <w:rsid w:val="00754D2A"/>
    <w:rsid w:val="007607C4"/>
    <w:rsid w:val="00760F29"/>
    <w:rsid w:val="0076643F"/>
    <w:rsid w:val="00781653"/>
    <w:rsid w:val="00792CC2"/>
    <w:rsid w:val="007A2F70"/>
    <w:rsid w:val="007A4E36"/>
    <w:rsid w:val="007B6477"/>
    <w:rsid w:val="007C3334"/>
    <w:rsid w:val="007C52BB"/>
    <w:rsid w:val="007D2048"/>
    <w:rsid w:val="007D2B98"/>
    <w:rsid w:val="007E00CA"/>
    <w:rsid w:val="007F326E"/>
    <w:rsid w:val="007F4853"/>
    <w:rsid w:val="00803F1C"/>
    <w:rsid w:val="0080600E"/>
    <w:rsid w:val="00814711"/>
    <w:rsid w:val="00816E44"/>
    <w:rsid w:val="00817612"/>
    <w:rsid w:val="00837C45"/>
    <w:rsid w:val="008514E5"/>
    <w:rsid w:val="00852692"/>
    <w:rsid w:val="00853419"/>
    <w:rsid w:val="00874F9D"/>
    <w:rsid w:val="0088047D"/>
    <w:rsid w:val="00897E12"/>
    <w:rsid w:val="008A2956"/>
    <w:rsid w:val="008B0045"/>
    <w:rsid w:val="008C4BF6"/>
    <w:rsid w:val="008D14AA"/>
    <w:rsid w:val="008D43BA"/>
    <w:rsid w:val="008E3759"/>
    <w:rsid w:val="008E40F5"/>
    <w:rsid w:val="009026FF"/>
    <w:rsid w:val="009041DC"/>
    <w:rsid w:val="009104B4"/>
    <w:rsid w:val="009228DA"/>
    <w:rsid w:val="00925FCD"/>
    <w:rsid w:val="00926808"/>
    <w:rsid w:val="0093441A"/>
    <w:rsid w:val="00946ACE"/>
    <w:rsid w:val="00954BF7"/>
    <w:rsid w:val="00960F70"/>
    <w:rsid w:val="0096706E"/>
    <w:rsid w:val="00981FBA"/>
    <w:rsid w:val="009844CF"/>
    <w:rsid w:val="0098783D"/>
    <w:rsid w:val="009B381B"/>
    <w:rsid w:val="009B58F0"/>
    <w:rsid w:val="009D7611"/>
    <w:rsid w:val="009E53DE"/>
    <w:rsid w:val="009E566A"/>
    <w:rsid w:val="00A12DBC"/>
    <w:rsid w:val="00A43458"/>
    <w:rsid w:val="00A528D1"/>
    <w:rsid w:val="00A5614D"/>
    <w:rsid w:val="00A621B7"/>
    <w:rsid w:val="00A66A6C"/>
    <w:rsid w:val="00A66BE5"/>
    <w:rsid w:val="00AD37C1"/>
    <w:rsid w:val="00AE1722"/>
    <w:rsid w:val="00AE66EC"/>
    <w:rsid w:val="00AE6F91"/>
    <w:rsid w:val="00AF5571"/>
    <w:rsid w:val="00AF7169"/>
    <w:rsid w:val="00B03FE3"/>
    <w:rsid w:val="00B05448"/>
    <w:rsid w:val="00B06BB7"/>
    <w:rsid w:val="00B167E9"/>
    <w:rsid w:val="00B179ED"/>
    <w:rsid w:val="00B314DB"/>
    <w:rsid w:val="00B31EBE"/>
    <w:rsid w:val="00B368FB"/>
    <w:rsid w:val="00B3718B"/>
    <w:rsid w:val="00B44B23"/>
    <w:rsid w:val="00B4632A"/>
    <w:rsid w:val="00B53504"/>
    <w:rsid w:val="00B92E49"/>
    <w:rsid w:val="00BA276C"/>
    <w:rsid w:val="00BA4000"/>
    <w:rsid w:val="00BA4A3B"/>
    <w:rsid w:val="00BB306F"/>
    <w:rsid w:val="00BB4C68"/>
    <w:rsid w:val="00BC3B32"/>
    <w:rsid w:val="00BD232B"/>
    <w:rsid w:val="00BD2E42"/>
    <w:rsid w:val="00BD4B89"/>
    <w:rsid w:val="00C21762"/>
    <w:rsid w:val="00C24543"/>
    <w:rsid w:val="00C256A2"/>
    <w:rsid w:val="00C31EC4"/>
    <w:rsid w:val="00C3492D"/>
    <w:rsid w:val="00C358B0"/>
    <w:rsid w:val="00C403CC"/>
    <w:rsid w:val="00C44739"/>
    <w:rsid w:val="00C55560"/>
    <w:rsid w:val="00C644F5"/>
    <w:rsid w:val="00C66B72"/>
    <w:rsid w:val="00C67574"/>
    <w:rsid w:val="00C743FF"/>
    <w:rsid w:val="00C84D0A"/>
    <w:rsid w:val="00C9567A"/>
    <w:rsid w:val="00C96E06"/>
    <w:rsid w:val="00CA6577"/>
    <w:rsid w:val="00CB2660"/>
    <w:rsid w:val="00CB5BAE"/>
    <w:rsid w:val="00CB7AD3"/>
    <w:rsid w:val="00CC5E90"/>
    <w:rsid w:val="00CD046C"/>
    <w:rsid w:val="00CE5199"/>
    <w:rsid w:val="00CE66D5"/>
    <w:rsid w:val="00D04E71"/>
    <w:rsid w:val="00D34786"/>
    <w:rsid w:val="00D40A1E"/>
    <w:rsid w:val="00D533C0"/>
    <w:rsid w:val="00D63148"/>
    <w:rsid w:val="00D63E5F"/>
    <w:rsid w:val="00D712D3"/>
    <w:rsid w:val="00D71422"/>
    <w:rsid w:val="00D7145E"/>
    <w:rsid w:val="00D7454A"/>
    <w:rsid w:val="00D75084"/>
    <w:rsid w:val="00D7558D"/>
    <w:rsid w:val="00D81D92"/>
    <w:rsid w:val="00D81F64"/>
    <w:rsid w:val="00D93446"/>
    <w:rsid w:val="00DA7B5F"/>
    <w:rsid w:val="00DC5E7B"/>
    <w:rsid w:val="00DD242E"/>
    <w:rsid w:val="00DE081B"/>
    <w:rsid w:val="00DE20A0"/>
    <w:rsid w:val="00DE6DF6"/>
    <w:rsid w:val="00DF078B"/>
    <w:rsid w:val="00DF350D"/>
    <w:rsid w:val="00DF38B0"/>
    <w:rsid w:val="00E227C1"/>
    <w:rsid w:val="00E26F34"/>
    <w:rsid w:val="00E43157"/>
    <w:rsid w:val="00E47F3D"/>
    <w:rsid w:val="00E524AA"/>
    <w:rsid w:val="00E533FF"/>
    <w:rsid w:val="00E5695F"/>
    <w:rsid w:val="00E709B3"/>
    <w:rsid w:val="00E7588C"/>
    <w:rsid w:val="00E7797F"/>
    <w:rsid w:val="00E850B6"/>
    <w:rsid w:val="00E872DC"/>
    <w:rsid w:val="00E8789F"/>
    <w:rsid w:val="00E97B71"/>
    <w:rsid w:val="00EA60E3"/>
    <w:rsid w:val="00EB4491"/>
    <w:rsid w:val="00EB454D"/>
    <w:rsid w:val="00EB786F"/>
    <w:rsid w:val="00ED0D1B"/>
    <w:rsid w:val="00EE3522"/>
    <w:rsid w:val="00EF619B"/>
    <w:rsid w:val="00EF70F4"/>
    <w:rsid w:val="00F00B55"/>
    <w:rsid w:val="00F1380F"/>
    <w:rsid w:val="00F14F0E"/>
    <w:rsid w:val="00F15A3B"/>
    <w:rsid w:val="00F23C2D"/>
    <w:rsid w:val="00F24C29"/>
    <w:rsid w:val="00F253CC"/>
    <w:rsid w:val="00F262EA"/>
    <w:rsid w:val="00F42B71"/>
    <w:rsid w:val="00F430C6"/>
    <w:rsid w:val="00F56BA5"/>
    <w:rsid w:val="00F621C3"/>
    <w:rsid w:val="00F644E6"/>
    <w:rsid w:val="00F90BF0"/>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rsid w:val="006F22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EA60E3"/>
    <w:rPr>
      <w:sz w:val="16"/>
      <w:szCs w:val="16"/>
    </w:rPr>
  </w:style>
  <w:style w:type="paragraph" w:styleId="CommentText">
    <w:name w:val="annotation text"/>
    <w:basedOn w:val="Normal"/>
    <w:link w:val="CommentTextChar"/>
    <w:uiPriority w:val="99"/>
    <w:semiHidden/>
    <w:unhideWhenUsed/>
    <w:rsid w:val="00EA60E3"/>
    <w:rPr>
      <w:sz w:val="20"/>
      <w:szCs w:val="20"/>
    </w:rPr>
  </w:style>
  <w:style w:type="character" w:customStyle="1" w:styleId="CommentTextChar">
    <w:name w:val="Comment Text Char"/>
    <w:basedOn w:val="DefaultParagraphFont"/>
    <w:link w:val="CommentText"/>
    <w:uiPriority w:val="99"/>
    <w:semiHidden/>
    <w:rsid w:val="00EA60E3"/>
    <w:rPr>
      <w:lang w:val="en-US" w:eastAsia="en-US"/>
    </w:rPr>
  </w:style>
  <w:style w:type="paragraph" w:styleId="CommentSubject">
    <w:name w:val="annotation subject"/>
    <w:basedOn w:val="CommentText"/>
    <w:next w:val="CommentText"/>
    <w:link w:val="CommentSubjectChar"/>
    <w:uiPriority w:val="99"/>
    <w:semiHidden/>
    <w:unhideWhenUsed/>
    <w:rsid w:val="00EA60E3"/>
    <w:rPr>
      <w:b/>
      <w:bCs/>
    </w:rPr>
  </w:style>
  <w:style w:type="character" w:customStyle="1" w:styleId="CommentSubjectChar">
    <w:name w:val="Comment Subject Char"/>
    <w:basedOn w:val="CommentTextChar"/>
    <w:link w:val="CommentSubject"/>
    <w:uiPriority w:val="99"/>
    <w:semiHidden/>
    <w:rsid w:val="00EA60E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25685"/>
    <w:rsid w:val="00097033"/>
    <w:rsid w:val="0010351C"/>
    <w:rsid w:val="001B3C1F"/>
    <w:rsid w:val="001F32F4"/>
    <w:rsid w:val="002F1DDB"/>
    <w:rsid w:val="00330F21"/>
    <w:rsid w:val="003748EB"/>
    <w:rsid w:val="0037569C"/>
    <w:rsid w:val="004108B1"/>
    <w:rsid w:val="00454545"/>
    <w:rsid w:val="00482A33"/>
    <w:rsid w:val="00556CE5"/>
    <w:rsid w:val="00677B3C"/>
    <w:rsid w:val="006A3012"/>
    <w:rsid w:val="006B2422"/>
    <w:rsid w:val="007336F3"/>
    <w:rsid w:val="0075068B"/>
    <w:rsid w:val="009A0D83"/>
    <w:rsid w:val="00AB44F1"/>
    <w:rsid w:val="00AE54E1"/>
    <w:rsid w:val="00B30FCC"/>
    <w:rsid w:val="00C74229"/>
    <w:rsid w:val="00C82ECB"/>
    <w:rsid w:val="00D625B9"/>
    <w:rsid w:val="00DB6E38"/>
    <w:rsid w:val="00DD2065"/>
    <w:rsid w:val="00DD6DB4"/>
    <w:rsid w:val="00DF5F8F"/>
    <w:rsid w:val="00E715BD"/>
    <w:rsid w:val="00EA0868"/>
    <w:rsid w:val="00FB0FCC"/>
    <w:rsid w:val="00FF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463C8-41CD-4F11-B47E-C930D15DBC0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6C58F488-0809-4481-AF6D-9806383B6C7D}">
  <ds:schemaRefs>
    <ds:schemaRef ds:uri="http://schemas.microsoft.com/sharepoint/v3/contenttype/forms"/>
  </ds:schemaRefs>
</ds:datastoreItem>
</file>

<file path=customXml/itemProps3.xml><?xml version="1.0" encoding="utf-8"?>
<ds:datastoreItem xmlns:ds="http://schemas.openxmlformats.org/officeDocument/2006/customXml" ds:itemID="{216C932B-D9CE-4BF1-97EB-7CD1240A28D4}">
  <ds:schemaRefs>
    <ds:schemaRef ds:uri="http://schemas.openxmlformats.org/officeDocument/2006/bibliography"/>
  </ds:schemaRefs>
</ds:datastoreItem>
</file>

<file path=customXml/itemProps4.xml><?xml version="1.0" encoding="utf-8"?>
<ds:datastoreItem xmlns:ds="http://schemas.openxmlformats.org/officeDocument/2006/customXml" ds:itemID="{1822104B-DCE9-4DB1-897E-D1488B9E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36752</Characters>
  <Application>Microsoft Office Word</Application>
  <DocSecurity>0</DocSecurity>
  <Lines>306</Lines>
  <Paragraphs>86</Paragraphs>
  <ScaleCrop>false</ScaleCrop>
  <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2022-09-28T16:43:00Z</dcterms:created>
  <dcterms:modified xsi:type="dcterms:W3CDTF">2022-09-28T16:43:00Z</dcterms:modified>
</cp:coreProperties>
</file>